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6AAA" w14:textId="24CAC1D9" w:rsidR="005458EC" w:rsidRDefault="001906EB">
      <w:pPr>
        <w:pStyle w:val="Autor"/>
      </w:pPr>
      <w:r w:rsidRPr="001906EB">
        <w:t>Hardy Landolt</w:t>
      </w:r>
      <w:r w:rsidR="005836D3" w:rsidRPr="005836D3">
        <w:rPr>
          <w:rStyle w:val="Funotenzeichen"/>
          <w:sz w:val="28"/>
          <w:szCs w:val="28"/>
        </w:rPr>
        <w:footnoteReference w:customMarkFollows="1" w:id="1"/>
        <w:t>*</w:t>
      </w:r>
    </w:p>
    <w:p w14:paraId="1E0C9D1A" w14:textId="77777777" w:rsidR="005458EC" w:rsidRDefault="001906EB">
      <w:pPr>
        <w:pStyle w:val="Titel"/>
      </w:pPr>
      <w:r>
        <w:t>Kinder als Täter und Opfer – sozialversich</w:t>
      </w:r>
      <w:r>
        <w:t>e</w:t>
      </w:r>
      <w:r>
        <w:t>rungsrechtliche Aspekte</w:t>
      </w:r>
    </w:p>
    <w:p w14:paraId="64F3C1C3" w14:textId="77777777" w:rsidR="005458EC" w:rsidRDefault="001906EB">
      <w:pPr>
        <w:pStyle w:val="TitelInhaltsverzeichnis"/>
      </w:pPr>
      <w:r>
        <w:t>Inhaltsverzeichnis</w:t>
      </w:r>
    </w:p>
    <w:p w14:paraId="311A0078" w14:textId="77777777" w:rsidR="00ED516F" w:rsidRDefault="00ED516F">
      <w:pPr>
        <w:pStyle w:val="Verzeichnis1"/>
        <w:tabs>
          <w:tab w:val="left" w:pos="318"/>
        </w:tabs>
        <w:rPr>
          <w:rFonts w:asciiTheme="minorHAnsi" w:eastAsiaTheme="minorEastAsia" w:hAnsiTheme="minorHAnsi" w:cstheme="minorBidi"/>
          <w:b w:val="0"/>
          <w:kern w:val="0"/>
          <w:sz w:val="24"/>
          <w:szCs w:val="24"/>
          <w:lang w:val="de-DE" w:eastAsia="ja-JP"/>
        </w:rPr>
      </w:pPr>
      <w:r>
        <w:rPr>
          <w:rFonts w:ascii="Syntax" w:hAnsi="Syntax"/>
        </w:rPr>
        <w:fldChar w:fldCharType="begin"/>
      </w:r>
      <w:r>
        <w:rPr>
          <w:rFonts w:ascii="Syntax" w:hAnsi="Syntax"/>
        </w:rPr>
        <w:instrText xml:space="preserve"> TOC \o "1-5" </w:instrText>
      </w:r>
      <w:r>
        <w:rPr>
          <w:rFonts w:ascii="Syntax" w:hAnsi="Syntax"/>
        </w:rPr>
        <w:fldChar w:fldCharType="separate"/>
      </w:r>
      <w:r>
        <w:t>I.</w:t>
      </w:r>
      <w:r>
        <w:rPr>
          <w:rFonts w:asciiTheme="minorHAnsi" w:eastAsiaTheme="minorEastAsia" w:hAnsiTheme="minorHAnsi" w:cstheme="minorBidi"/>
          <w:b w:val="0"/>
          <w:kern w:val="0"/>
          <w:sz w:val="24"/>
          <w:szCs w:val="24"/>
          <w:lang w:val="de-DE" w:eastAsia="ja-JP"/>
        </w:rPr>
        <w:tab/>
      </w:r>
      <w:r>
        <w:t>Einführung</w:t>
      </w:r>
      <w:r>
        <w:tab/>
      </w:r>
      <w:r>
        <w:fldChar w:fldCharType="begin"/>
      </w:r>
      <w:r>
        <w:instrText xml:space="preserve"> PAGEREF _Toc246328736 \h </w:instrText>
      </w:r>
      <w:r>
        <w:fldChar w:fldCharType="separate"/>
      </w:r>
      <w:r w:rsidR="00477731">
        <w:t>2</w:t>
      </w:r>
      <w:r>
        <w:fldChar w:fldCharType="end"/>
      </w:r>
    </w:p>
    <w:p w14:paraId="4D90C912" w14:textId="77777777" w:rsidR="00ED516F" w:rsidRDefault="00ED516F">
      <w:pPr>
        <w:pStyle w:val="Verzeichnis1"/>
        <w:tabs>
          <w:tab w:val="left" w:pos="356"/>
        </w:tabs>
        <w:rPr>
          <w:rFonts w:asciiTheme="minorHAnsi" w:eastAsiaTheme="minorEastAsia" w:hAnsiTheme="minorHAnsi" w:cstheme="minorBidi"/>
          <w:b w:val="0"/>
          <w:kern w:val="0"/>
          <w:sz w:val="24"/>
          <w:szCs w:val="24"/>
          <w:lang w:val="de-DE" w:eastAsia="ja-JP"/>
        </w:rPr>
      </w:pPr>
      <w:r w:rsidRPr="000866F9">
        <w:rPr>
          <w:lang w:val="de-DE"/>
        </w:rPr>
        <w:t>II.</w:t>
      </w:r>
      <w:r>
        <w:rPr>
          <w:rFonts w:asciiTheme="minorHAnsi" w:eastAsiaTheme="minorEastAsia" w:hAnsiTheme="minorHAnsi" w:cstheme="minorBidi"/>
          <w:b w:val="0"/>
          <w:kern w:val="0"/>
          <w:sz w:val="24"/>
          <w:szCs w:val="24"/>
          <w:lang w:val="de-DE" w:eastAsia="ja-JP"/>
        </w:rPr>
        <w:tab/>
      </w:r>
      <w:r w:rsidRPr="000866F9">
        <w:rPr>
          <w:lang w:val="de-DE"/>
        </w:rPr>
        <w:t>Kinder als Täter</w:t>
      </w:r>
      <w:r>
        <w:tab/>
      </w:r>
      <w:r>
        <w:fldChar w:fldCharType="begin"/>
      </w:r>
      <w:r>
        <w:instrText xml:space="preserve"> PAGEREF _Toc246328737 \h </w:instrText>
      </w:r>
      <w:r>
        <w:fldChar w:fldCharType="separate"/>
      </w:r>
      <w:r w:rsidR="00477731">
        <w:t>3</w:t>
      </w:r>
      <w:r>
        <w:fldChar w:fldCharType="end"/>
      </w:r>
    </w:p>
    <w:p w14:paraId="467E8A56" w14:textId="77777777" w:rsidR="00ED516F" w:rsidRDefault="00ED516F">
      <w:pPr>
        <w:pStyle w:val="Verzeichnis2"/>
        <w:tabs>
          <w:tab w:val="left" w:pos="1135"/>
        </w:tabs>
        <w:rPr>
          <w:rFonts w:asciiTheme="minorHAnsi" w:eastAsiaTheme="minorEastAsia" w:hAnsiTheme="minorHAnsi" w:cstheme="minorBidi"/>
          <w:kern w:val="0"/>
          <w:sz w:val="24"/>
          <w:szCs w:val="24"/>
          <w:lang w:val="de-DE" w:eastAsia="ja-JP"/>
        </w:rPr>
      </w:pPr>
      <w:r w:rsidRPr="000866F9">
        <w:rPr>
          <w:lang w:val="de-DE"/>
        </w:rPr>
        <w:t>A.</w:t>
      </w:r>
      <w:r>
        <w:rPr>
          <w:rFonts w:asciiTheme="minorHAnsi" w:eastAsiaTheme="minorEastAsia" w:hAnsiTheme="minorHAnsi" w:cstheme="minorBidi"/>
          <w:kern w:val="0"/>
          <w:sz w:val="24"/>
          <w:szCs w:val="24"/>
          <w:lang w:val="de-DE" w:eastAsia="ja-JP"/>
        </w:rPr>
        <w:tab/>
      </w:r>
      <w:r w:rsidRPr="000866F9">
        <w:rPr>
          <w:lang w:val="de-DE"/>
        </w:rPr>
        <w:t>Allgemeines</w:t>
      </w:r>
      <w:r>
        <w:tab/>
      </w:r>
      <w:r>
        <w:fldChar w:fldCharType="begin"/>
      </w:r>
      <w:r>
        <w:instrText xml:space="preserve"> PAGEREF _Toc246328738 \h </w:instrText>
      </w:r>
      <w:r>
        <w:fldChar w:fldCharType="separate"/>
      </w:r>
      <w:r w:rsidR="00477731">
        <w:t>3</w:t>
      </w:r>
      <w:r>
        <w:fldChar w:fldCharType="end"/>
      </w:r>
    </w:p>
    <w:p w14:paraId="7F8DD410" w14:textId="77777777" w:rsidR="00ED516F" w:rsidRDefault="00ED516F">
      <w:pPr>
        <w:pStyle w:val="Verzeichnis2"/>
        <w:tabs>
          <w:tab w:val="left" w:pos="1135"/>
        </w:tabs>
        <w:rPr>
          <w:rFonts w:asciiTheme="minorHAnsi" w:eastAsiaTheme="minorEastAsia" w:hAnsiTheme="minorHAnsi" w:cstheme="minorBidi"/>
          <w:kern w:val="0"/>
          <w:sz w:val="24"/>
          <w:szCs w:val="24"/>
          <w:lang w:val="de-DE" w:eastAsia="ja-JP"/>
        </w:rPr>
      </w:pPr>
      <w:r w:rsidRPr="000866F9">
        <w:rPr>
          <w:lang w:val="de-DE"/>
        </w:rPr>
        <w:t>B.</w:t>
      </w:r>
      <w:r>
        <w:rPr>
          <w:rFonts w:asciiTheme="minorHAnsi" w:eastAsiaTheme="minorEastAsia" w:hAnsiTheme="minorHAnsi" w:cstheme="minorBidi"/>
          <w:kern w:val="0"/>
          <w:sz w:val="24"/>
          <w:szCs w:val="24"/>
          <w:lang w:val="de-DE" w:eastAsia="ja-JP"/>
        </w:rPr>
        <w:tab/>
      </w:r>
      <w:r w:rsidRPr="000866F9">
        <w:rPr>
          <w:lang w:val="de-DE"/>
        </w:rPr>
        <w:t>Sozialversicherungsregress</w:t>
      </w:r>
      <w:r>
        <w:tab/>
      </w:r>
      <w:r>
        <w:fldChar w:fldCharType="begin"/>
      </w:r>
      <w:r>
        <w:instrText xml:space="preserve"> PAGEREF _Toc246328739 \h </w:instrText>
      </w:r>
      <w:r>
        <w:fldChar w:fldCharType="separate"/>
      </w:r>
      <w:r w:rsidR="00477731">
        <w:t>4</w:t>
      </w:r>
      <w:r>
        <w:fldChar w:fldCharType="end"/>
      </w:r>
    </w:p>
    <w:p w14:paraId="7F0D6D4F"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1.</w:t>
      </w:r>
      <w:r>
        <w:rPr>
          <w:rFonts w:asciiTheme="minorHAnsi" w:eastAsiaTheme="minorEastAsia" w:hAnsiTheme="minorHAnsi" w:cstheme="minorBidi"/>
          <w:kern w:val="0"/>
          <w:sz w:val="24"/>
          <w:szCs w:val="24"/>
          <w:lang w:val="de-DE" w:eastAsia="ja-JP"/>
        </w:rPr>
        <w:tab/>
      </w:r>
      <w:r w:rsidRPr="000866F9">
        <w:rPr>
          <w:lang w:val="de-DE"/>
        </w:rPr>
        <w:t>Regress auf Kinder</w:t>
      </w:r>
      <w:r>
        <w:tab/>
      </w:r>
      <w:r>
        <w:fldChar w:fldCharType="begin"/>
      </w:r>
      <w:r>
        <w:instrText xml:space="preserve"> PAGEREF _Toc246328740 \h </w:instrText>
      </w:r>
      <w:r>
        <w:fldChar w:fldCharType="separate"/>
      </w:r>
      <w:r w:rsidR="00477731">
        <w:t>4</w:t>
      </w:r>
      <w:r>
        <w:fldChar w:fldCharType="end"/>
      </w:r>
    </w:p>
    <w:p w14:paraId="41276783"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2.</w:t>
      </w:r>
      <w:r>
        <w:rPr>
          <w:rFonts w:asciiTheme="minorHAnsi" w:eastAsiaTheme="minorEastAsia" w:hAnsiTheme="minorHAnsi" w:cstheme="minorBidi"/>
          <w:kern w:val="0"/>
          <w:sz w:val="24"/>
          <w:szCs w:val="24"/>
          <w:lang w:val="de-DE" w:eastAsia="ja-JP"/>
        </w:rPr>
        <w:tab/>
      </w:r>
      <w:r w:rsidRPr="000866F9">
        <w:rPr>
          <w:lang w:val="de-DE"/>
        </w:rPr>
        <w:t>Regress auf Eltern</w:t>
      </w:r>
      <w:r>
        <w:tab/>
      </w:r>
      <w:r>
        <w:fldChar w:fldCharType="begin"/>
      </w:r>
      <w:r>
        <w:instrText xml:space="preserve"> PAGEREF _Toc246328741 \h </w:instrText>
      </w:r>
      <w:r>
        <w:fldChar w:fldCharType="separate"/>
      </w:r>
      <w:r w:rsidR="00477731">
        <w:t>4</w:t>
      </w:r>
      <w:r>
        <w:fldChar w:fldCharType="end"/>
      </w:r>
    </w:p>
    <w:p w14:paraId="1FBAD127"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t>3.</w:t>
      </w:r>
      <w:r>
        <w:rPr>
          <w:rFonts w:asciiTheme="minorHAnsi" w:eastAsiaTheme="minorEastAsia" w:hAnsiTheme="minorHAnsi" w:cstheme="minorBidi"/>
          <w:kern w:val="0"/>
          <w:sz w:val="24"/>
          <w:szCs w:val="24"/>
          <w:lang w:val="de-DE" w:eastAsia="ja-JP"/>
        </w:rPr>
        <w:tab/>
      </w:r>
      <w:r>
        <w:t>Regressprivileg bei einer innerfamiliären Schadenszufügung</w:t>
      </w:r>
      <w:r>
        <w:tab/>
      </w:r>
      <w:r>
        <w:fldChar w:fldCharType="begin"/>
      </w:r>
      <w:r>
        <w:instrText xml:space="preserve"> PAGEREF _Toc246328742 \h </w:instrText>
      </w:r>
      <w:r>
        <w:fldChar w:fldCharType="separate"/>
      </w:r>
      <w:r w:rsidR="00477731">
        <w:t>5</w:t>
      </w:r>
      <w:r>
        <w:fldChar w:fldCharType="end"/>
      </w:r>
    </w:p>
    <w:p w14:paraId="5CF6805C" w14:textId="77777777" w:rsidR="00ED516F" w:rsidRDefault="00ED516F">
      <w:pPr>
        <w:pStyle w:val="Verzeichnis2"/>
        <w:tabs>
          <w:tab w:val="left" w:pos="1135"/>
        </w:tabs>
        <w:rPr>
          <w:rFonts w:asciiTheme="minorHAnsi" w:eastAsiaTheme="minorEastAsia" w:hAnsiTheme="minorHAnsi" w:cstheme="minorBidi"/>
          <w:kern w:val="0"/>
          <w:sz w:val="24"/>
          <w:szCs w:val="24"/>
          <w:lang w:val="de-DE" w:eastAsia="ja-JP"/>
        </w:rPr>
      </w:pPr>
      <w:r w:rsidRPr="000866F9">
        <w:rPr>
          <w:lang w:val="de-DE"/>
        </w:rPr>
        <w:t>C.</w:t>
      </w:r>
      <w:r>
        <w:rPr>
          <w:rFonts w:asciiTheme="minorHAnsi" w:eastAsiaTheme="minorEastAsia" w:hAnsiTheme="minorHAnsi" w:cstheme="minorBidi"/>
          <w:kern w:val="0"/>
          <w:sz w:val="24"/>
          <w:szCs w:val="24"/>
          <w:lang w:val="de-DE" w:eastAsia="ja-JP"/>
        </w:rPr>
        <w:tab/>
      </w:r>
      <w:r w:rsidRPr="000866F9">
        <w:rPr>
          <w:lang w:val="de-DE"/>
        </w:rPr>
        <w:t>Leistungskürzung</w:t>
      </w:r>
      <w:r>
        <w:tab/>
      </w:r>
      <w:r>
        <w:fldChar w:fldCharType="begin"/>
      </w:r>
      <w:r>
        <w:instrText xml:space="preserve"> PAGEREF _Toc246328743 \h </w:instrText>
      </w:r>
      <w:r>
        <w:fldChar w:fldCharType="separate"/>
      </w:r>
      <w:r w:rsidR="00477731">
        <w:t>5</w:t>
      </w:r>
      <w:r>
        <w:fldChar w:fldCharType="end"/>
      </w:r>
    </w:p>
    <w:p w14:paraId="77A7364A" w14:textId="77777777" w:rsidR="00ED516F" w:rsidRDefault="00ED516F">
      <w:pPr>
        <w:pStyle w:val="Verzeichnis1"/>
        <w:tabs>
          <w:tab w:val="left" w:pos="395"/>
        </w:tabs>
        <w:rPr>
          <w:rFonts w:asciiTheme="minorHAnsi" w:eastAsiaTheme="minorEastAsia" w:hAnsiTheme="minorHAnsi" w:cstheme="minorBidi"/>
          <w:b w:val="0"/>
          <w:kern w:val="0"/>
          <w:sz w:val="24"/>
          <w:szCs w:val="24"/>
          <w:lang w:val="de-DE" w:eastAsia="ja-JP"/>
        </w:rPr>
      </w:pPr>
      <w:r w:rsidRPr="000866F9">
        <w:rPr>
          <w:lang w:val="de-DE"/>
        </w:rPr>
        <w:t>III.</w:t>
      </w:r>
      <w:r>
        <w:rPr>
          <w:rFonts w:asciiTheme="minorHAnsi" w:eastAsiaTheme="minorEastAsia" w:hAnsiTheme="minorHAnsi" w:cstheme="minorBidi"/>
          <w:b w:val="0"/>
          <w:kern w:val="0"/>
          <w:sz w:val="24"/>
          <w:szCs w:val="24"/>
          <w:lang w:val="de-DE" w:eastAsia="ja-JP"/>
        </w:rPr>
        <w:tab/>
      </w:r>
      <w:r w:rsidRPr="000866F9">
        <w:rPr>
          <w:lang w:val="de-DE"/>
        </w:rPr>
        <w:t>Kinder als Opfer</w:t>
      </w:r>
      <w:r>
        <w:tab/>
      </w:r>
      <w:r>
        <w:fldChar w:fldCharType="begin"/>
      </w:r>
      <w:r>
        <w:instrText xml:space="preserve"> PAGEREF _Toc246328744 \h </w:instrText>
      </w:r>
      <w:r>
        <w:fldChar w:fldCharType="separate"/>
      </w:r>
      <w:r w:rsidR="00477731">
        <w:t>5</w:t>
      </w:r>
      <w:r>
        <w:fldChar w:fldCharType="end"/>
      </w:r>
    </w:p>
    <w:p w14:paraId="64DAB229" w14:textId="77777777" w:rsidR="00ED516F" w:rsidRDefault="00ED516F">
      <w:pPr>
        <w:pStyle w:val="Verzeichnis2"/>
        <w:tabs>
          <w:tab w:val="left" w:pos="1135"/>
        </w:tabs>
        <w:rPr>
          <w:rFonts w:asciiTheme="minorHAnsi" w:eastAsiaTheme="minorEastAsia" w:hAnsiTheme="minorHAnsi" w:cstheme="minorBidi"/>
          <w:kern w:val="0"/>
          <w:sz w:val="24"/>
          <w:szCs w:val="24"/>
          <w:lang w:val="de-DE" w:eastAsia="ja-JP"/>
        </w:rPr>
      </w:pPr>
      <w:r w:rsidRPr="000866F9">
        <w:rPr>
          <w:lang w:val="de-DE"/>
        </w:rPr>
        <w:t>A.</w:t>
      </w:r>
      <w:r>
        <w:rPr>
          <w:rFonts w:asciiTheme="minorHAnsi" w:eastAsiaTheme="minorEastAsia" w:hAnsiTheme="minorHAnsi" w:cstheme="minorBidi"/>
          <w:kern w:val="0"/>
          <w:sz w:val="24"/>
          <w:szCs w:val="24"/>
          <w:lang w:val="de-DE" w:eastAsia="ja-JP"/>
        </w:rPr>
        <w:tab/>
      </w:r>
      <w:r w:rsidRPr="000866F9">
        <w:rPr>
          <w:lang w:val="de-DE"/>
        </w:rPr>
        <w:t>Heilbehandlung</w:t>
      </w:r>
      <w:r>
        <w:tab/>
      </w:r>
      <w:r>
        <w:fldChar w:fldCharType="begin"/>
      </w:r>
      <w:r>
        <w:instrText xml:space="preserve"> PAGEREF _Toc246328745 \h </w:instrText>
      </w:r>
      <w:r>
        <w:fldChar w:fldCharType="separate"/>
      </w:r>
      <w:r w:rsidR="00477731">
        <w:t>5</w:t>
      </w:r>
      <w:r>
        <w:fldChar w:fldCharType="end"/>
      </w:r>
    </w:p>
    <w:p w14:paraId="34F1C3B5"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1.</w:t>
      </w:r>
      <w:r>
        <w:rPr>
          <w:rFonts w:asciiTheme="minorHAnsi" w:eastAsiaTheme="minorEastAsia" w:hAnsiTheme="minorHAnsi" w:cstheme="minorBidi"/>
          <w:kern w:val="0"/>
          <w:sz w:val="24"/>
          <w:szCs w:val="24"/>
          <w:lang w:val="de-DE" w:eastAsia="ja-JP"/>
        </w:rPr>
        <w:tab/>
      </w:r>
      <w:r w:rsidRPr="000866F9">
        <w:rPr>
          <w:lang w:val="de-DE"/>
        </w:rPr>
        <w:t>Allgemeines</w:t>
      </w:r>
      <w:r>
        <w:tab/>
      </w:r>
      <w:r>
        <w:fldChar w:fldCharType="begin"/>
      </w:r>
      <w:r>
        <w:instrText xml:space="preserve"> PAGEREF _Toc246328746 \h </w:instrText>
      </w:r>
      <w:r>
        <w:fldChar w:fldCharType="separate"/>
      </w:r>
      <w:r w:rsidR="00477731">
        <w:t>5</w:t>
      </w:r>
      <w:r>
        <w:fldChar w:fldCharType="end"/>
      </w:r>
    </w:p>
    <w:p w14:paraId="39EDD769"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2.</w:t>
      </w:r>
      <w:r>
        <w:rPr>
          <w:rFonts w:asciiTheme="minorHAnsi" w:eastAsiaTheme="minorEastAsia" w:hAnsiTheme="minorHAnsi" w:cstheme="minorBidi"/>
          <w:kern w:val="0"/>
          <w:sz w:val="24"/>
          <w:szCs w:val="24"/>
          <w:lang w:val="de-DE" w:eastAsia="ja-JP"/>
        </w:rPr>
        <w:tab/>
      </w:r>
      <w:r w:rsidRPr="000866F9">
        <w:rPr>
          <w:lang w:val="de-DE"/>
        </w:rPr>
        <w:t>Pflegeentschädigung</w:t>
      </w:r>
      <w:r>
        <w:tab/>
      </w:r>
      <w:r>
        <w:fldChar w:fldCharType="begin"/>
      </w:r>
      <w:r>
        <w:instrText xml:space="preserve"> PAGEREF _Toc246328747 \h </w:instrText>
      </w:r>
      <w:r>
        <w:fldChar w:fldCharType="separate"/>
      </w:r>
      <w:r w:rsidR="00477731">
        <w:t>6</w:t>
      </w:r>
      <w:r>
        <w:fldChar w:fldCharType="end"/>
      </w:r>
    </w:p>
    <w:p w14:paraId="746DBD1E" w14:textId="77777777"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rsidRPr="000866F9">
        <w:rPr>
          <w:lang w:val="de-DE"/>
        </w:rPr>
        <w:t>a)</w:t>
      </w:r>
      <w:r>
        <w:rPr>
          <w:rFonts w:asciiTheme="minorHAnsi" w:eastAsiaTheme="minorEastAsia" w:hAnsiTheme="minorHAnsi" w:cstheme="minorBidi"/>
          <w:kern w:val="0"/>
          <w:sz w:val="24"/>
          <w:szCs w:val="24"/>
          <w:lang w:val="de-DE" w:eastAsia="ja-JP"/>
        </w:rPr>
        <w:tab/>
      </w:r>
      <w:r w:rsidRPr="000866F9">
        <w:rPr>
          <w:lang w:val="de-DE"/>
        </w:rPr>
        <w:t>Allgemeines</w:t>
      </w:r>
      <w:r>
        <w:tab/>
      </w:r>
      <w:r>
        <w:fldChar w:fldCharType="begin"/>
      </w:r>
      <w:r>
        <w:instrText xml:space="preserve"> PAGEREF _Toc246328748 \h </w:instrText>
      </w:r>
      <w:r>
        <w:fldChar w:fldCharType="separate"/>
      </w:r>
      <w:r w:rsidR="00477731">
        <w:t>6</w:t>
      </w:r>
      <w:r>
        <w:fldChar w:fldCharType="end"/>
      </w:r>
    </w:p>
    <w:p w14:paraId="30FD3045" w14:textId="77777777"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rsidRPr="000866F9">
        <w:rPr>
          <w:lang w:val="de-DE"/>
        </w:rPr>
        <w:t>b)</w:t>
      </w:r>
      <w:r>
        <w:rPr>
          <w:rFonts w:asciiTheme="minorHAnsi" w:eastAsiaTheme="minorEastAsia" w:hAnsiTheme="minorHAnsi" w:cstheme="minorBidi"/>
          <w:kern w:val="0"/>
          <w:sz w:val="24"/>
          <w:szCs w:val="24"/>
          <w:lang w:val="de-DE" w:eastAsia="ja-JP"/>
        </w:rPr>
        <w:tab/>
      </w:r>
      <w:r w:rsidRPr="000866F9">
        <w:rPr>
          <w:lang w:val="de-DE"/>
        </w:rPr>
        <w:t>Kinderspitex</w:t>
      </w:r>
      <w:r>
        <w:tab/>
      </w:r>
      <w:r>
        <w:fldChar w:fldCharType="begin"/>
      </w:r>
      <w:r>
        <w:instrText xml:space="preserve"> PAGEREF _Toc246328749 \h </w:instrText>
      </w:r>
      <w:r>
        <w:fldChar w:fldCharType="separate"/>
      </w:r>
      <w:r w:rsidR="00477731">
        <w:t>6</w:t>
      </w:r>
      <w:r>
        <w:fldChar w:fldCharType="end"/>
      </w:r>
    </w:p>
    <w:p w14:paraId="7C319104" w14:textId="77777777"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rsidRPr="000866F9">
        <w:rPr>
          <w:lang w:val="de-DE"/>
        </w:rPr>
        <w:t>c)</w:t>
      </w:r>
      <w:r>
        <w:rPr>
          <w:rFonts w:asciiTheme="minorHAnsi" w:eastAsiaTheme="minorEastAsia" w:hAnsiTheme="minorHAnsi" w:cstheme="minorBidi"/>
          <w:kern w:val="0"/>
          <w:sz w:val="24"/>
          <w:szCs w:val="24"/>
          <w:lang w:val="de-DE" w:eastAsia="ja-JP"/>
        </w:rPr>
        <w:tab/>
      </w:r>
      <w:r w:rsidRPr="000866F9">
        <w:rPr>
          <w:lang w:val="de-DE"/>
        </w:rPr>
        <w:t>Angehörigenpflege</w:t>
      </w:r>
      <w:r>
        <w:tab/>
      </w:r>
      <w:r>
        <w:fldChar w:fldCharType="begin"/>
      </w:r>
      <w:r>
        <w:instrText xml:space="preserve"> PAGEREF _Toc246328750 \h </w:instrText>
      </w:r>
      <w:r>
        <w:fldChar w:fldCharType="separate"/>
      </w:r>
      <w:r w:rsidR="00477731">
        <w:t>6</w:t>
      </w:r>
      <w:r>
        <w:fldChar w:fldCharType="end"/>
      </w:r>
    </w:p>
    <w:p w14:paraId="14955160" w14:textId="77777777" w:rsidR="00ED516F" w:rsidRDefault="00ED516F">
      <w:pPr>
        <w:pStyle w:val="Verzeichnis2"/>
        <w:tabs>
          <w:tab w:val="left" w:pos="1135"/>
        </w:tabs>
        <w:rPr>
          <w:rFonts w:asciiTheme="minorHAnsi" w:eastAsiaTheme="minorEastAsia" w:hAnsiTheme="minorHAnsi" w:cstheme="minorBidi"/>
          <w:kern w:val="0"/>
          <w:sz w:val="24"/>
          <w:szCs w:val="24"/>
          <w:lang w:val="de-DE" w:eastAsia="ja-JP"/>
        </w:rPr>
      </w:pPr>
      <w:r w:rsidRPr="000866F9">
        <w:rPr>
          <w:lang w:val="de-DE"/>
        </w:rPr>
        <w:t>B.</w:t>
      </w:r>
      <w:r>
        <w:rPr>
          <w:rFonts w:asciiTheme="minorHAnsi" w:eastAsiaTheme="minorEastAsia" w:hAnsiTheme="minorHAnsi" w:cstheme="minorBidi"/>
          <w:kern w:val="0"/>
          <w:sz w:val="24"/>
          <w:szCs w:val="24"/>
          <w:lang w:val="de-DE" w:eastAsia="ja-JP"/>
        </w:rPr>
        <w:tab/>
      </w:r>
      <w:r w:rsidRPr="000866F9">
        <w:rPr>
          <w:lang w:val="de-DE"/>
        </w:rPr>
        <w:t>Eingliederung</w:t>
      </w:r>
      <w:r>
        <w:tab/>
      </w:r>
      <w:r>
        <w:fldChar w:fldCharType="begin"/>
      </w:r>
      <w:r>
        <w:instrText xml:space="preserve"> PAGEREF _Toc246328751 \h </w:instrText>
      </w:r>
      <w:r>
        <w:fldChar w:fldCharType="separate"/>
      </w:r>
      <w:r w:rsidR="00477731">
        <w:t>8</w:t>
      </w:r>
      <w:r>
        <w:fldChar w:fldCharType="end"/>
      </w:r>
    </w:p>
    <w:p w14:paraId="3F5F7A5C"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1.</w:t>
      </w:r>
      <w:r>
        <w:rPr>
          <w:rFonts w:asciiTheme="minorHAnsi" w:eastAsiaTheme="minorEastAsia" w:hAnsiTheme="minorHAnsi" w:cstheme="minorBidi"/>
          <w:kern w:val="0"/>
          <w:sz w:val="24"/>
          <w:szCs w:val="24"/>
          <w:lang w:val="de-DE" w:eastAsia="ja-JP"/>
        </w:rPr>
        <w:tab/>
      </w:r>
      <w:r w:rsidRPr="000866F9">
        <w:rPr>
          <w:lang w:val="de-DE"/>
        </w:rPr>
        <w:t>Schulische Eingliederung</w:t>
      </w:r>
      <w:r>
        <w:tab/>
      </w:r>
      <w:r>
        <w:fldChar w:fldCharType="begin"/>
      </w:r>
      <w:r>
        <w:instrText xml:space="preserve"> PAGEREF _Toc246328752 \h </w:instrText>
      </w:r>
      <w:r>
        <w:fldChar w:fldCharType="separate"/>
      </w:r>
      <w:r w:rsidR="00477731">
        <w:t>8</w:t>
      </w:r>
      <w:r>
        <w:fldChar w:fldCharType="end"/>
      </w:r>
    </w:p>
    <w:p w14:paraId="4CE5F4E3"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t>2.</w:t>
      </w:r>
      <w:r>
        <w:rPr>
          <w:rFonts w:asciiTheme="minorHAnsi" w:eastAsiaTheme="minorEastAsia" w:hAnsiTheme="minorHAnsi" w:cstheme="minorBidi"/>
          <w:kern w:val="0"/>
          <w:sz w:val="24"/>
          <w:szCs w:val="24"/>
          <w:lang w:val="de-DE" w:eastAsia="ja-JP"/>
        </w:rPr>
        <w:tab/>
      </w:r>
      <w:r>
        <w:t>Berufliche Eingliederung</w:t>
      </w:r>
      <w:r>
        <w:tab/>
      </w:r>
      <w:r>
        <w:fldChar w:fldCharType="begin"/>
      </w:r>
      <w:r>
        <w:instrText xml:space="preserve"> PAGEREF _Toc246328753 \h </w:instrText>
      </w:r>
      <w:r>
        <w:fldChar w:fldCharType="separate"/>
      </w:r>
      <w:r w:rsidR="00477731">
        <w:t>8</w:t>
      </w:r>
      <w:r>
        <w:fldChar w:fldCharType="end"/>
      </w:r>
    </w:p>
    <w:p w14:paraId="2CF07DA9" w14:textId="77777777"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rsidRPr="000866F9">
        <w:rPr>
          <w:lang w:val="de-DE"/>
        </w:rPr>
        <w:t>a)</w:t>
      </w:r>
      <w:r>
        <w:rPr>
          <w:rFonts w:asciiTheme="minorHAnsi" w:eastAsiaTheme="minorEastAsia" w:hAnsiTheme="minorHAnsi" w:cstheme="minorBidi"/>
          <w:kern w:val="0"/>
          <w:sz w:val="24"/>
          <w:szCs w:val="24"/>
          <w:lang w:val="de-DE" w:eastAsia="ja-JP"/>
        </w:rPr>
        <w:tab/>
      </w:r>
      <w:r w:rsidRPr="000866F9">
        <w:rPr>
          <w:lang w:val="de-DE"/>
        </w:rPr>
        <w:t>Allgemeines</w:t>
      </w:r>
      <w:r>
        <w:tab/>
      </w:r>
      <w:r>
        <w:fldChar w:fldCharType="begin"/>
      </w:r>
      <w:r>
        <w:instrText xml:space="preserve"> PAGEREF _Toc246328754 \h </w:instrText>
      </w:r>
      <w:r>
        <w:fldChar w:fldCharType="separate"/>
      </w:r>
      <w:r w:rsidR="00477731">
        <w:t>8</w:t>
      </w:r>
      <w:r>
        <w:fldChar w:fldCharType="end"/>
      </w:r>
    </w:p>
    <w:p w14:paraId="21118407" w14:textId="77777777"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rsidRPr="000866F9">
        <w:rPr>
          <w:lang w:val="de-DE"/>
        </w:rPr>
        <w:t>b)</w:t>
      </w:r>
      <w:r>
        <w:rPr>
          <w:rFonts w:asciiTheme="minorHAnsi" w:eastAsiaTheme="minorEastAsia" w:hAnsiTheme="minorHAnsi" w:cstheme="minorBidi"/>
          <w:kern w:val="0"/>
          <w:sz w:val="24"/>
          <w:szCs w:val="24"/>
          <w:lang w:val="de-DE" w:eastAsia="ja-JP"/>
        </w:rPr>
        <w:tab/>
      </w:r>
      <w:r w:rsidRPr="000866F9">
        <w:rPr>
          <w:lang w:val="de-DE"/>
        </w:rPr>
        <w:t>Erstmalige berufliche Ausbildung</w:t>
      </w:r>
      <w:r>
        <w:tab/>
      </w:r>
      <w:r>
        <w:fldChar w:fldCharType="begin"/>
      </w:r>
      <w:r>
        <w:instrText xml:space="preserve"> PAGEREF _Toc246328755 \h </w:instrText>
      </w:r>
      <w:r>
        <w:fldChar w:fldCharType="separate"/>
      </w:r>
      <w:r w:rsidR="00477731">
        <w:t>9</w:t>
      </w:r>
      <w:r>
        <w:fldChar w:fldCharType="end"/>
      </w:r>
    </w:p>
    <w:p w14:paraId="3802CCE5" w14:textId="77777777"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rsidRPr="000866F9">
        <w:rPr>
          <w:lang w:val="de-DE"/>
        </w:rPr>
        <w:t>c)</w:t>
      </w:r>
      <w:r>
        <w:rPr>
          <w:rFonts w:asciiTheme="minorHAnsi" w:eastAsiaTheme="minorEastAsia" w:hAnsiTheme="minorHAnsi" w:cstheme="minorBidi"/>
          <w:kern w:val="0"/>
          <w:sz w:val="24"/>
          <w:szCs w:val="24"/>
          <w:lang w:val="de-DE" w:eastAsia="ja-JP"/>
        </w:rPr>
        <w:tab/>
      </w:r>
      <w:r w:rsidRPr="000866F9">
        <w:rPr>
          <w:lang w:val="de-DE"/>
        </w:rPr>
        <w:t>Eingliederungstaggeld</w:t>
      </w:r>
      <w:r>
        <w:tab/>
      </w:r>
      <w:r>
        <w:fldChar w:fldCharType="begin"/>
      </w:r>
      <w:r>
        <w:instrText xml:space="preserve"> PAGEREF _Toc246328756 \h </w:instrText>
      </w:r>
      <w:r>
        <w:fldChar w:fldCharType="separate"/>
      </w:r>
      <w:r w:rsidR="00477731">
        <w:t>10</w:t>
      </w:r>
      <w:r>
        <w:fldChar w:fldCharType="end"/>
      </w:r>
    </w:p>
    <w:p w14:paraId="5E7B4A8D" w14:textId="77777777" w:rsidR="00ED516F" w:rsidRDefault="00ED516F">
      <w:pPr>
        <w:pStyle w:val="Verzeichnis2"/>
        <w:tabs>
          <w:tab w:val="left" w:pos="1135"/>
        </w:tabs>
        <w:rPr>
          <w:rFonts w:asciiTheme="minorHAnsi" w:eastAsiaTheme="minorEastAsia" w:hAnsiTheme="minorHAnsi" w:cstheme="minorBidi"/>
          <w:kern w:val="0"/>
          <w:sz w:val="24"/>
          <w:szCs w:val="24"/>
          <w:lang w:val="de-DE" w:eastAsia="ja-JP"/>
        </w:rPr>
      </w:pPr>
      <w:r w:rsidRPr="000866F9">
        <w:rPr>
          <w:lang w:val="de-DE"/>
        </w:rPr>
        <w:t>C.</w:t>
      </w:r>
      <w:r>
        <w:rPr>
          <w:rFonts w:asciiTheme="minorHAnsi" w:eastAsiaTheme="minorEastAsia" w:hAnsiTheme="minorHAnsi" w:cstheme="minorBidi"/>
          <w:kern w:val="0"/>
          <w:sz w:val="24"/>
          <w:szCs w:val="24"/>
          <w:lang w:val="de-DE" w:eastAsia="ja-JP"/>
        </w:rPr>
        <w:tab/>
      </w:r>
      <w:r w:rsidRPr="000866F9">
        <w:rPr>
          <w:lang w:val="de-DE"/>
        </w:rPr>
        <w:t>Hilfsmittel</w:t>
      </w:r>
      <w:r>
        <w:tab/>
      </w:r>
      <w:r>
        <w:fldChar w:fldCharType="begin"/>
      </w:r>
      <w:r>
        <w:instrText xml:space="preserve"> PAGEREF _Toc246328757 \h </w:instrText>
      </w:r>
      <w:r>
        <w:fldChar w:fldCharType="separate"/>
      </w:r>
      <w:r w:rsidR="00477731">
        <w:t>10</w:t>
      </w:r>
      <w:r>
        <w:fldChar w:fldCharType="end"/>
      </w:r>
    </w:p>
    <w:p w14:paraId="3AE7E980" w14:textId="77777777" w:rsidR="00ED516F" w:rsidRDefault="00ED516F">
      <w:pPr>
        <w:pStyle w:val="Verzeichnis2"/>
        <w:tabs>
          <w:tab w:val="left" w:pos="1135"/>
        </w:tabs>
        <w:rPr>
          <w:rFonts w:asciiTheme="minorHAnsi" w:eastAsiaTheme="minorEastAsia" w:hAnsiTheme="minorHAnsi" w:cstheme="minorBidi"/>
          <w:kern w:val="0"/>
          <w:sz w:val="24"/>
          <w:szCs w:val="24"/>
          <w:lang w:val="de-DE" w:eastAsia="ja-JP"/>
        </w:rPr>
      </w:pPr>
      <w:r w:rsidRPr="000866F9">
        <w:rPr>
          <w:lang w:val="de-DE"/>
        </w:rPr>
        <w:t>D.</w:t>
      </w:r>
      <w:r>
        <w:rPr>
          <w:rFonts w:asciiTheme="minorHAnsi" w:eastAsiaTheme="minorEastAsia" w:hAnsiTheme="minorHAnsi" w:cstheme="minorBidi"/>
          <w:kern w:val="0"/>
          <w:sz w:val="24"/>
          <w:szCs w:val="24"/>
          <w:lang w:val="de-DE" w:eastAsia="ja-JP"/>
        </w:rPr>
        <w:tab/>
      </w:r>
      <w:r w:rsidRPr="000866F9">
        <w:rPr>
          <w:lang w:val="de-DE"/>
        </w:rPr>
        <w:t>Invalidenrente</w:t>
      </w:r>
      <w:r>
        <w:tab/>
      </w:r>
      <w:r>
        <w:fldChar w:fldCharType="begin"/>
      </w:r>
      <w:r>
        <w:instrText xml:space="preserve"> PAGEREF _Toc246328758 \h </w:instrText>
      </w:r>
      <w:r>
        <w:fldChar w:fldCharType="separate"/>
      </w:r>
      <w:r w:rsidR="00477731">
        <w:t>11</w:t>
      </w:r>
      <w:r>
        <w:fldChar w:fldCharType="end"/>
      </w:r>
    </w:p>
    <w:p w14:paraId="6DF5AB04"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1.</w:t>
      </w:r>
      <w:r>
        <w:rPr>
          <w:rFonts w:asciiTheme="minorHAnsi" w:eastAsiaTheme="minorEastAsia" w:hAnsiTheme="minorHAnsi" w:cstheme="minorBidi"/>
          <w:kern w:val="0"/>
          <w:sz w:val="24"/>
          <w:szCs w:val="24"/>
          <w:lang w:val="de-DE" w:eastAsia="ja-JP"/>
        </w:rPr>
        <w:tab/>
      </w:r>
      <w:r w:rsidRPr="000866F9">
        <w:rPr>
          <w:lang w:val="de-DE"/>
        </w:rPr>
        <w:t>Allgemeines</w:t>
      </w:r>
      <w:r>
        <w:tab/>
      </w:r>
      <w:r>
        <w:fldChar w:fldCharType="begin"/>
      </w:r>
      <w:r>
        <w:instrText xml:space="preserve"> PAGEREF _Toc246328759 \h </w:instrText>
      </w:r>
      <w:r>
        <w:fldChar w:fldCharType="separate"/>
      </w:r>
      <w:r w:rsidR="00477731">
        <w:t>11</w:t>
      </w:r>
      <w:r>
        <w:fldChar w:fldCharType="end"/>
      </w:r>
    </w:p>
    <w:p w14:paraId="04AE984A" w14:textId="4D46ED8C"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2.</w:t>
      </w:r>
      <w:r>
        <w:rPr>
          <w:rFonts w:asciiTheme="minorHAnsi" w:eastAsiaTheme="minorEastAsia" w:hAnsiTheme="minorHAnsi" w:cstheme="minorBidi"/>
          <w:kern w:val="0"/>
          <w:sz w:val="24"/>
          <w:szCs w:val="24"/>
          <w:lang w:val="de-DE" w:eastAsia="ja-JP"/>
        </w:rPr>
        <w:tab/>
      </w:r>
      <w:r w:rsidR="003D7E4B">
        <w:rPr>
          <w:lang w:val="de-DE"/>
        </w:rPr>
        <w:t>Invaliditäts</w:t>
      </w:r>
      <w:r w:rsidR="00646033">
        <w:rPr>
          <w:lang w:val="de-DE"/>
        </w:rPr>
        <w:t>be</w:t>
      </w:r>
      <w:r w:rsidRPr="000866F9">
        <w:rPr>
          <w:lang w:val="de-DE"/>
        </w:rPr>
        <w:t>messungsmethode</w:t>
      </w:r>
      <w:r>
        <w:tab/>
      </w:r>
      <w:r>
        <w:fldChar w:fldCharType="begin"/>
      </w:r>
      <w:r>
        <w:instrText xml:space="preserve"> PAGEREF _Toc246328760 \h </w:instrText>
      </w:r>
      <w:r>
        <w:fldChar w:fldCharType="separate"/>
      </w:r>
      <w:r w:rsidR="00477731">
        <w:t>12</w:t>
      </w:r>
      <w:r>
        <w:fldChar w:fldCharType="end"/>
      </w:r>
    </w:p>
    <w:p w14:paraId="39150EA6" w14:textId="14269E78"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t>a)</w:t>
      </w:r>
      <w:r>
        <w:rPr>
          <w:rFonts w:asciiTheme="minorHAnsi" w:eastAsiaTheme="minorEastAsia" w:hAnsiTheme="minorHAnsi" w:cstheme="minorBidi"/>
          <w:kern w:val="0"/>
          <w:sz w:val="24"/>
          <w:szCs w:val="24"/>
          <w:lang w:val="de-DE" w:eastAsia="ja-JP"/>
        </w:rPr>
        <w:tab/>
      </w:r>
      <w:r w:rsidR="003D7E4B">
        <w:rPr>
          <w:lang w:val="de-DE"/>
        </w:rPr>
        <w:t>Versicherte</w:t>
      </w:r>
      <w:r w:rsidRPr="000866F9">
        <w:rPr>
          <w:lang w:val="de-DE"/>
        </w:rPr>
        <w:t xml:space="preserve"> vor dem vollendeten 20. Altersjahr</w:t>
      </w:r>
      <w:r>
        <w:tab/>
      </w:r>
      <w:r>
        <w:fldChar w:fldCharType="begin"/>
      </w:r>
      <w:r>
        <w:instrText xml:space="preserve"> PAGEREF _Toc246328761 \h </w:instrText>
      </w:r>
      <w:r>
        <w:fldChar w:fldCharType="separate"/>
      </w:r>
      <w:r w:rsidR="00477731">
        <w:t>12</w:t>
      </w:r>
      <w:r>
        <w:fldChar w:fldCharType="end"/>
      </w:r>
    </w:p>
    <w:p w14:paraId="77DFBFE2" w14:textId="5742A1C6"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rsidRPr="000866F9">
        <w:rPr>
          <w:lang w:val="de-DE"/>
        </w:rPr>
        <w:t>b)</w:t>
      </w:r>
      <w:r>
        <w:rPr>
          <w:rFonts w:asciiTheme="minorHAnsi" w:eastAsiaTheme="minorEastAsia" w:hAnsiTheme="minorHAnsi" w:cstheme="minorBidi"/>
          <w:kern w:val="0"/>
          <w:sz w:val="24"/>
          <w:szCs w:val="24"/>
          <w:lang w:val="de-DE" w:eastAsia="ja-JP"/>
        </w:rPr>
        <w:tab/>
      </w:r>
      <w:r w:rsidR="003D7E4B">
        <w:rPr>
          <w:lang w:val="de-DE"/>
        </w:rPr>
        <w:t>Versicherte</w:t>
      </w:r>
      <w:r w:rsidR="00DF5A2B">
        <w:rPr>
          <w:lang w:val="de-DE"/>
        </w:rPr>
        <w:t xml:space="preserve"> nach</w:t>
      </w:r>
      <w:r w:rsidRPr="000866F9">
        <w:rPr>
          <w:lang w:val="de-DE"/>
        </w:rPr>
        <w:t xml:space="preserve"> </w:t>
      </w:r>
      <w:r w:rsidR="00E96A2E">
        <w:rPr>
          <w:lang w:val="de-DE"/>
        </w:rPr>
        <w:t>dem vollendeten</w:t>
      </w:r>
      <w:r w:rsidRPr="000866F9">
        <w:rPr>
          <w:lang w:val="de-DE"/>
        </w:rPr>
        <w:t xml:space="preserve"> 20. Altersjahr</w:t>
      </w:r>
      <w:r>
        <w:tab/>
      </w:r>
      <w:r>
        <w:fldChar w:fldCharType="begin"/>
      </w:r>
      <w:r>
        <w:instrText xml:space="preserve"> PAGEREF _Toc246328762 \h </w:instrText>
      </w:r>
      <w:r>
        <w:fldChar w:fldCharType="separate"/>
      </w:r>
      <w:r w:rsidR="00477731">
        <w:t>12</w:t>
      </w:r>
      <w:r>
        <w:fldChar w:fldCharType="end"/>
      </w:r>
    </w:p>
    <w:p w14:paraId="5DD1292D"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3.</w:t>
      </w:r>
      <w:r>
        <w:rPr>
          <w:rFonts w:asciiTheme="minorHAnsi" w:eastAsiaTheme="minorEastAsia" w:hAnsiTheme="minorHAnsi" w:cstheme="minorBidi"/>
          <w:kern w:val="0"/>
          <w:sz w:val="24"/>
          <w:szCs w:val="24"/>
          <w:lang w:val="de-DE" w:eastAsia="ja-JP"/>
        </w:rPr>
        <w:tab/>
      </w:r>
      <w:r w:rsidRPr="000866F9">
        <w:rPr>
          <w:lang w:val="de-DE"/>
        </w:rPr>
        <w:t>Validen- und Invalideneinkommen</w:t>
      </w:r>
      <w:r>
        <w:tab/>
      </w:r>
      <w:r>
        <w:fldChar w:fldCharType="begin"/>
      </w:r>
      <w:r>
        <w:instrText xml:space="preserve"> PAGEREF _Toc246328763 \h </w:instrText>
      </w:r>
      <w:r>
        <w:fldChar w:fldCharType="separate"/>
      </w:r>
      <w:r w:rsidR="00477731">
        <w:t>13</w:t>
      </w:r>
      <w:r>
        <w:fldChar w:fldCharType="end"/>
      </w:r>
    </w:p>
    <w:p w14:paraId="3C2588BA" w14:textId="77777777"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rsidRPr="000866F9">
        <w:rPr>
          <w:lang w:val="de-DE"/>
        </w:rPr>
        <w:t>a)</w:t>
      </w:r>
      <w:r>
        <w:rPr>
          <w:rFonts w:asciiTheme="minorHAnsi" w:eastAsiaTheme="minorEastAsia" w:hAnsiTheme="minorHAnsi" w:cstheme="minorBidi"/>
          <w:kern w:val="0"/>
          <w:sz w:val="24"/>
          <w:szCs w:val="24"/>
          <w:lang w:val="de-DE" w:eastAsia="ja-JP"/>
        </w:rPr>
        <w:tab/>
      </w:r>
      <w:r w:rsidRPr="000866F9">
        <w:rPr>
          <w:lang w:val="de-DE"/>
        </w:rPr>
        <w:t>Versicherte mit Ausbildung</w:t>
      </w:r>
      <w:r>
        <w:tab/>
      </w:r>
      <w:r>
        <w:fldChar w:fldCharType="begin"/>
      </w:r>
      <w:r>
        <w:instrText xml:space="preserve"> PAGEREF _Toc246328764 \h </w:instrText>
      </w:r>
      <w:r>
        <w:fldChar w:fldCharType="separate"/>
      </w:r>
      <w:r w:rsidR="00477731">
        <w:t>13</w:t>
      </w:r>
      <w:r>
        <w:fldChar w:fldCharType="end"/>
      </w:r>
    </w:p>
    <w:p w14:paraId="06FB1832" w14:textId="77777777"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rsidRPr="000866F9">
        <w:rPr>
          <w:lang w:val="de-DE"/>
        </w:rPr>
        <w:t>b)</w:t>
      </w:r>
      <w:r>
        <w:rPr>
          <w:rFonts w:asciiTheme="minorHAnsi" w:eastAsiaTheme="minorEastAsia" w:hAnsiTheme="minorHAnsi" w:cstheme="minorBidi"/>
          <w:kern w:val="0"/>
          <w:sz w:val="24"/>
          <w:szCs w:val="24"/>
          <w:lang w:val="de-DE" w:eastAsia="ja-JP"/>
        </w:rPr>
        <w:tab/>
      </w:r>
      <w:r w:rsidRPr="000866F9">
        <w:rPr>
          <w:lang w:val="de-DE"/>
        </w:rPr>
        <w:t>Versicherte ohne Ausbildung</w:t>
      </w:r>
      <w:r>
        <w:tab/>
      </w:r>
      <w:r>
        <w:fldChar w:fldCharType="begin"/>
      </w:r>
      <w:r>
        <w:instrText xml:space="preserve"> PAGEREF _Toc246328765 \h </w:instrText>
      </w:r>
      <w:r>
        <w:fldChar w:fldCharType="separate"/>
      </w:r>
      <w:r w:rsidR="00477731">
        <w:t>14</w:t>
      </w:r>
      <w:r>
        <w:fldChar w:fldCharType="end"/>
      </w:r>
    </w:p>
    <w:p w14:paraId="69DBFAB9" w14:textId="77777777"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t>c)</w:t>
      </w:r>
      <w:r>
        <w:rPr>
          <w:rFonts w:asciiTheme="minorHAnsi" w:eastAsiaTheme="minorEastAsia" w:hAnsiTheme="minorHAnsi" w:cstheme="minorBidi"/>
          <w:kern w:val="0"/>
          <w:sz w:val="24"/>
          <w:szCs w:val="24"/>
          <w:lang w:val="de-DE" w:eastAsia="ja-JP"/>
        </w:rPr>
        <w:tab/>
      </w:r>
      <w:r>
        <w:t>In Ausbildung begriffene Versicherte</w:t>
      </w:r>
      <w:r>
        <w:tab/>
      </w:r>
      <w:r>
        <w:fldChar w:fldCharType="begin"/>
      </w:r>
      <w:r>
        <w:instrText xml:space="preserve"> PAGEREF _Toc246328766 \h </w:instrText>
      </w:r>
      <w:r>
        <w:fldChar w:fldCharType="separate"/>
      </w:r>
      <w:r w:rsidR="00477731">
        <w:t>16</w:t>
      </w:r>
      <w:r>
        <w:fldChar w:fldCharType="end"/>
      </w:r>
    </w:p>
    <w:p w14:paraId="372E6CC4"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lastRenderedPageBreak/>
        <w:t>4.</w:t>
      </w:r>
      <w:r>
        <w:rPr>
          <w:rFonts w:asciiTheme="minorHAnsi" w:eastAsiaTheme="minorEastAsia" w:hAnsiTheme="minorHAnsi" w:cstheme="minorBidi"/>
          <w:kern w:val="0"/>
          <w:sz w:val="24"/>
          <w:szCs w:val="24"/>
          <w:lang w:val="de-DE" w:eastAsia="ja-JP"/>
        </w:rPr>
        <w:tab/>
      </w:r>
      <w:r w:rsidRPr="000866F9">
        <w:rPr>
          <w:lang w:val="de-DE"/>
        </w:rPr>
        <w:t>Höhe der Invalidenrente</w:t>
      </w:r>
      <w:r>
        <w:tab/>
      </w:r>
      <w:r>
        <w:fldChar w:fldCharType="begin"/>
      </w:r>
      <w:r>
        <w:instrText xml:space="preserve"> PAGEREF _Toc246328767 \h </w:instrText>
      </w:r>
      <w:r>
        <w:fldChar w:fldCharType="separate"/>
      </w:r>
      <w:r w:rsidR="00477731">
        <w:t>16</w:t>
      </w:r>
      <w:r>
        <w:fldChar w:fldCharType="end"/>
      </w:r>
    </w:p>
    <w:p w14:paraId="0B0F61B7" w14:textId="77777777"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t>a)</w:t>
      </w:r>
      <w:r>
        <w:rPr>
          <w:rFonts w:asciiTheme="minorHAnsi" w:eastAsiaTheme="minorEastAsia" w:hAnsiTheme="minorHAnsi" w:cstheme="minorBidi"/>
          <w:kern w:val="0"/>
          <w:sz w:val="24"/>
          <w:szCs w:val="24"/>
          <w:lang w:val="de-DE" w:eastAsia="ja-JP"/>
        </w:rPr>
        <w:tab/>
      </w:r>
      <w:r>
        <w:t>Invalidenversicherung</w:t>
      </w:r>
      <w:r>
        <w:tab/>
      </w:r>
      <w:r>
        <w:fldChar w:fldCharType="begin"/>
      </w:r>
      <w:r>
        <w:instrText xml:space="preserve"> PAGEREF _Toc246328768 \h </w:instrText>
      </w:r>
      <w:r>
        <w:fldChar w:fldCharType="separate"/>
      </w:r>
      <w:r w:rsidR="00477731">
        <w:t>16</w:t>
      </w:r>
      <w:r>
        <w:fldChar w:fldCharType="end"/>
      </w:r>
    </w:p>
    <w:p w14:paraId="68245A08" w14:textId="77777777" w:rsidR="00ED516F" w:rsidRDefault="00ED516F">
      <w:pPr>
        <w:pStyle w:val="Verzeichnis4"/>
        <w:tabs>
          <w:tab w:val="left" w:pos="1588"/>
        </w:tabs>
        <w:rPr>
          <w:rFonts w:asciiTheme="minorHAnsi" w:eastAsiaTheme="minorEastAsia" w:hAnsiTheme="minorHAnsi" w:cstheme="minorBidi"/>
          <w:kern w:val="0"/>
          <w:sz w:val="24"/>
          <w:szCs w:val="24"/>
          <w:lang w:val="de-DE" w:eastAsia="ja-JP"/>
        </w:rPr>
      </w:pPr>
      <w:r w:rsidRPr="000866F9">
        <w:rPr>
          <w:lang w:val="de-DE"/>
        </w:rPr>
        <w:t>b)</w:t>
      </w:r>
      <w:r>
        <w:rPr>
          <w:rFonts w:asciiTheme="minorHAnsi" w:eastAsiaTheme="minorEastAsia" w:hAnsiTheme="minorHAnsi" w:cstheme="minorBidi"/>
          <w:kern w:val="0"/>
          <w:sz w:val="24"/>
          <w:szCs w:val="24"/>
          <w:lang w:val="de-DE" w:eastAsia="ja-JP"/>
        </w:rPr>
        <w:tab/>
      </w:r>
      <w:r w:rsidRPr="000866F9">
        <w:rPr>
          <w:lang w:val="de-DE"/>
        </w:rPr>
        <w:t>Unfallversicherung</w:t>
      </w:r>
      <w:r>
        <w:tab/>
      </w:r>
      <w:r>
        <w:fldChar w:fldCharType="begin"/>
      </w:r>
      <w:r>
        <w:instrText xml:space="preserve"> PAGEREF _Toc246328769 \h </w:instrText>
      </w:r>
      <w:r>
        <w:fldChar w:fldCharType="separate"/>
      </w:r>
      <w:r w:rsidR="00477731">
        <w:t>16</w:t>
      </w:r>
      <w:r>
        <w:fldChar w:fldCharType="end"/>
      </w:r>
    </w:p>
    <w:p w14:paraId="559ED9B8" w14:textId="77777777" w:rsidR="00ED516F" w:rsidRDefault="00ED516F">
      <w:pPr>
        <w:pStyle w:val="Verzeichnis2"/>
        <w:tabs>
          <w:tab w:val="left" w:pos="1135"/>
        </w:tabs>
        <w:rPr>
          <w:rFonts w:asciiTheme="minorHAnsi" w:eastAsiaTheme="minorEastAsia" w:hAnsiTheme="minorHAnsi" w:cstheme="minorBidi"/>
          <w:kern w:val="0"/>
          <w:sz w:val="24"/>
          <w:szCs w:val="24"/>
          <w:lang w:val="de-DE" w:eastAsia="ja-JP"/>
        </w:rPr>
      </w:pPr>
      <w:r w:rsidRPr="000866F9">
        <w:rPr>
          <w:lang w:val="de-DE"/>
        </w:rPr>
        <w:t>E.</w:t>
      </w:r>
      <w:r>
        <w:rPr>
          <w:rFonts w:asciiTheme="minorHAnsi" w:eastAsiaTheme="minorEastAsia" w:hAnsiTheme="minorHAnsi" w:cstheme="minorBidi"/>
          <w:kern w:val="0"/>
          <w:sz w:val="24"/>
          <w:szCs w:val="24"/>
          <w:lang w:val="de-DE" w:eastAsia="ja-JP"/>
        </w:rPr>
        <w:tab/>
      </w:r>
      <w:r w:rsidRPr="000866F9">
        <w:rPr>
          <w:lang w:val="de-DE"/>
        </w:rPr>
        <w:t>Hilflosenentschädigung, Intensivpflegezuschlag und Assistenzbeitrag</w:t>
      </w:r>
      <w:r>
        <w:tab/>
      </w:r>
      <w:r>
        <w:fldChar w:fldCharType="begin"/>
      </w:r>
      <w:r>
        <w:instrText xml:space="preserve"> PAGEREF _Toc246328770 \h </w:instrText>
      </w:r>
      <w:r>
        <w:fldChar w:fldCharType="separate"/>
      </w:r>
      <w:r w:rsidR="00477731">
        <w:t>17</w:t>
      </w:r>
      <w:r>
        <w:fldChar w:fldCharType="end"/>
      </w:r>
    </w:p>
    <w:p w14:paraId="4A134880"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1.</w:t>
      </w:r>
      <w:r>
        <w:rPr>
          <w:rFonts w:asciiTheme="minorHAnsi" w:eastAsiaTheme="minorEastAsia" w:hAnsiTheme="minorHAnsi" w:cstheme="minorBidi"/>
          <w:kern w:val="0"/>
          <w:sz w:val="24"/>
          <w:szCs w:val="24"/>
          <w:lang w:val="de-DE" w:eastAsia="ja-JP"/>
        </w:rPr>
        <w:tab/>
      </w:r>
      <w:r w:rsidRPr="000866F9">
        <w:rPr>
          <w:lang w:val="de-DE"/>
        </w:rPr>
        <w:t>Hilflosenenentschädigung</w:t>
      </w:r>
      <w:r>
        <w:tab/>
      </w:r>
      <w:r>
        <w:fldChar w:fldCharType="begin"/>
      </w:r>
      <w:r>
        <w:instrText xml:space="preserve"> PAGEREF _Toc246328771 \h </w:instrText>
      </w:r>
      <w:r>
        <w:fldChar w:fldCharType="separate"/>
      </w:r>
      <w:r w:rsidR="00477731">
        <w:t>17</w:t>
      </w:r>
      <w:r>
        <w:fldChar w:fldCharType="end"/>
      </w:r>
    </w:p>
    <w:p w14:paraId="60D13C7A"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2.</w:t>
      </w:r>
      <w:r>
        <w:rPr>
          <w:rFonts w:asciiTheme="minorHAnsi" w:eastAsiaTheme="minorEastAsia" w:hAnsiTheme="minorHAnsi" w:cstheme="minorBidi"/>
          <w:kern w:val="0"/>
          <w:sz w:val="24"/>
          <w:szCs w:val="24"/>
          <w:lang w:val="de-DE" w:eastAsia="ja-JP"/>
        </w:rPr>
        <w:tab/>
      </w:r>
      <w:r w:rsidRPr="000866F9">
        <w:rPr>
          <w:lang w:val="de-DE"/>
        </w:rPr>
        <w:t>Intensivpflegezuschlag</w:t>
      </w:r>
      <w:r>
        <w:tab/>
      </w:r>
      <w:r>
        <w:fldChar w:fldCharType="begin"/>
      </w:r>
      <w:r>
        <w:instrText xml:space="preserve"> PAGEREF _Toc246328772 \h </w:instrText>
      </w:r>
      <w:r>
        <w:fldChar w:fldCharType="separate"/>
      </w:r>
      <w:r w:rsidR="00477731">
        <w:t>18</w:t>
      </w:r>
      <w:r>
        <w:fldChar w:fldCharType="end"/>
      </w:r>
    </w:p>
    <w:p w14:paraId="5609F653"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3.</w:t>
      </w:r>
      <w:r>
        <w:rPr>
          <w:rFonts w:asciiTheme="minorHAnsi" w:eastAsiaTheme="minorEastAsia" w:hAnsiTheme="minorHAnsi" w:cstheme="minorBidi"/>
          <w:kern w:val="0"/>
          <w:sz w:val="24"/>
          <w:szCs w:val="24"/>
          <w:lang w:val="de-DE" w:eastAsia="ja-JP"/>
        </w:rPr>
        <w:tab/>
      </w:r>
      <w:r w:rsidRPr="000866F9">
        <w:rPr>
          <w:lang w:val="de-DE"/>
        </w:rPr>
        <w:t>Assistenzbeitrag</w:t>
      </w:r>
      <w:r>
        <w:tab/>
      </w:r>
      <w:r>
        <w:fldChar w:fldCharType="begin"/>
      </w:r>
      <w:r>
        <w:instrText xml:space="preserve"> PAGEREF _Toc246328773 \h </w:instrText>
      </w:r>
      <w:r>
        <w:fldChar w:fldCharType="separate"/>
      </w:r>
      <w:r w:rsidR="00477731">
        <w:t>20</w:t>
      </w:r>
      <w:r>
        <w:fldChar w:fldCharType="end"/>
      </w:r>
    </w:p>
    <w:p w14:paraId="573BBE78" w14:textId="77777777" w:rsidR="00ED516F" w:rsidRDefault="00ED516F">
      <w:pPr>
        <w:pStyle w:val="Verzeichnis2"/>
        <w:tabs>
          <w:tab w:val="left" w:pos="1135"/>
        </w:tabs>
        <w:rPr>
          <w:rFonts w:asciiTheme="minorHAnsi" w:eastAsiaTheme="minorEastAsia" w:hAnsiTheme="minorHAnsi" w:cstheme="minorBidi"/>
          <w:kern w:val="0"/>
          <w:sz w:val="24"/>
          <w:szCs w:val="24"/>
          <w:lang w:val="de-DE" w:eastAsia="ja-JP"/>
        </w:rPr>
      </w:pPr>
      <w:r w:rsidRPr="000866F9">
        <w:rPr>
          <w:lang w:val="de-DE"/>
        </w:rPr>
        <w:t>F.</w:t>
      </w:r>
      <w:r>
        <w:rPr>
          <w:rFonts w:asciiTheme="minorHAnsi" w:eastAsiaTheme="minorEastAsia" w:hAnsiTheme="minorHAnsi" w:cstheme="minorBidi"/>
          <w:kern w:val="0"/>
          <w:sz w:val="24"/>
          <w:szCs w:val="24"/>
          <w:lang w:val="de-DE" w:eastAsia="ja-JP"/>
        </w:rPr>
        <w:tab/>
      </w:r>
      <w:r w:rsidRPr="000866F9">
        <w:rPr>
          <w:lang w:val="de-DE"/>
        </w:rPr>
        <w:t>Ergänzungsleistungen</w:t>
      </w:r>
      <w:r>
        <w:tab/>
      </w:r>
      <w:r>
        <w:fldChar w:fldCharType="begin"/>
      </w:r>
      <w:r>
        <w:instrText xml:space="preserve"> PAGEREF _Toc246328774 \h </w:instrText>
      </w:r>
      <w:r>
        <w:fldChar w:fldCharType="separate"/>
      </w:r>
      <w:r w:rsidR="00477731">
        <w:t>21</w:t>
      </w:r>
      <w:r>
        <w:fldChar w:fldCharType="end"/>
      </w:r>
    </w:p>
    <w:p w14:paraId="2A06E626"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1.</w:t>
      </w:r>
      <w:r>
        <w:rPr>
          <w:rFonts w:asciiTheme="minorHAnsi" w:eastAsiaTheme="minorEastAsia" w:hAnsiTheme="minorHAnsi" w:cstheme="minorBidi"/>
          <w:kern w:val="0"/>
          <w:sz w:val="24"/>
          <w:szCs w:val="24"/>
          <w:lang w:val="de-DE" w:eastAsia="ja-JP"/>
        </w:rPr>
        <w:tab/>
      </w:r>
      <w:r w:rsidRPr="000866F9">
        <w:rPr>
          <w:lang w:val="de-DE"/>
        </w:rPr>
        <w:t>Direkte Anspruchsberechtigung des Kindes</w:t>
      </w:r>
      <w:r>
        <w:tab/>
      </w:r>
      <w:r>
        <w:fldChar w:fldCharType="begin"/>
      </w:r>
      <w:r>
        <w:instrText xml:space="preserve"> PAGEREF _Toc246328775 \h </w:instrText>
      </w:r>
      <w:r>
        <w:fldChar w:fldCharType="separate"/>
      </w:r>
      <w:r w:rsidR="00477731">
        <w:t>21</w:t>
      </w:r>
      <w:r>
        <w:fldChar w:fldCharType="end"/>
      </w:r>
    </w:p>
    <w:p w14:paraId="65B81080"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2.</w:t>
      </w:r>
      <w:r>
        <w:rPr>
          <w:rFonts w:asciiTheme="minorHAnsi" w:eastAsiaTheme="minorEastAsia" w:hAnsiTheme="minorHAnsi" w:cstheme="minorBidi"/>
          <w:kern w:val="0"/>
          <w:sz w:val="24"/>
          <w:szCs w:val="24"/>
          <w:lang w:val="de-DE" w:eastAsia="ja-JP"/>
        </w:rPr>
        <w:tab/>
      </w:r>
      <w:r w:rsidRPr="000866F9">
        <w:rPr>
          <w:lang w:val="de-DE"/>
        </w:rPr>
        <w:t>Indirekte Anspruchsberechtigung des Kindes</w:t>
      </w:r>
      <w:r>
        <w:tab/>
      </w:r>
      <w:r>
        <w:fldChar w:fldCharType="begin"/>
      </w:r>
      <w:r>
        <w:instrText xml:space="preserve"> PAGEREF _Toc246328776 \h </w:instrText>
      </w:r>
      <w:r>
        <w:fldChar w:fldCharType="separate"/>
      </w:r>
      <w:r w:rsidR="00477731">
        <w:t>22</w:t>
      </w:r>
      <w:r>
        <w:fldChar w:fldCharType="end"/>
      </w:r>
    </w:p>
    <w:p w14:paraId="615DF064"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3.</w:t>
      </w:r>
      <w:r>
        <w:rPr>
          <w:rFonts w:asciiTheme="minorHAnsi" w:eastAsiaTheme="minorEastAsia" w:hAnsiTheme="minorHAnsi" w:cstheme="minorBidi"/>
          <w:kern w:val="0"/>
          <w:sz w:val="24"/>
          <w:szCs w:val="24"/>
          <w:lang w:val="de-DE" w:eastAsia="ja-JP"/>
        </w:rPr>
        <w:tab/>
      </w:r>
      <w:r w:rsidRPr="000866F9">
        <w:rPr>
          <w:lang w:val="de-DE"/>
        </w:rPr>
        <w:t>Bei der Berechnung der Ergänzungsleistung der Eltern nicht zu berücksichtigende Kinder</w:t>
      </w:r>
      <w:r>
        <w:tab/>
      </w:r>
      <w:r>
        <w:fldChar w:fldCharType="begin"/>
      </w:r>
      <w:r>
        <w:instrText xml:space="preserve"> PAGEREF _Toc246328777 \h </w:instrText>
      </w:r>
      <w:r>
        <w:fldChar w:fldCharType="separate"/>
      </w:r>
      <w:r w:rsidR="00477731">
        <w:t>22</w:t>
      </w:r>
      <w:r>
        <w:fldChar w:fldCharType="end"/>
      </w:r>
    </w:p>
    <w:p w14:paraId="6BDC09C3" w14:textId="77777777" w:rsidR="00ED516F" w:rsidRDefault="00ED516F">
      <w:pPr>
        <w:pStyle w:val="Verzeichnis2"/>
        <w:tabs>
          <w:tab w:val="left" w:pos="1135"/>
        </w:tabs>
        <w:rPr>
          <w:rFonts w:asciiTheme="minorHAnsi" w:eastAsiaTheme="minorEastAsia" w:hAnsiTheme="minorHAnsi" w:cstheme="minorBidi"/>
          <w:kern w:val="0"/>
          <w:sz w:val="24"/>
          <w:szCs w:val="24"/>
          <w:lang w:val="de-DE" w:eastAsia="ja-JP"/>
        </w:rPr>
      </w:pPr>
      <w:r w:rsidRPr="000866F9">
        <w:rPr>
          <w:lang w:val="de-DE"/>
        </w:rPr>
        <w:t>G.</w:t>
      </w:r>
      <w:r>
        <w:rPr>
          <w:rFonts w:asciiTheme="minorHAnsi" w:eastAsiaTheme="minorEastAsia" w:hAnsiTheme="minorHAnsi" w:cstheme="minorBidi"/>
          <w:kern w:val="0"/>
          <w:sz w:val="24"/>
          <w:szCs w:val="24"/>
          <w:lang w:val="de-DE" w:eastAsia="ja-JP"/>
        </w:rPr>
        <w:tab/>
      </w:r>
      <w:r w:rsidRPr="000866F9">
        <w:rPr>
          <w:lang w:val="de-DE"/>
        </w:rPr>
        <w:t>Auswirkungen einer Behinderung des Kindes auf die sozialversicherungsrechtliche Stellung der Eltern</w:t>
      </w:r>
      <w:r>
        <w:tab/>
      </w:r>
      <w:r>
        <w:fldChar w:fldCharType="begin"/>
      </w:r>
      <w:r>
        <w:instrText xml:space="preserve"> PAGEREF _Toc246328778 \h </w:instrText>
      </w:r>
      <w:r>
        <w:fldChar w:fldCharType="separate"/>
      </w:r>
      <w:r w:rsidR="00477731">
        <w:t>23</w:t>
      </w:r>
      <w:r>
        <w:fldChar w:fldCharType="end"/>
      </w:r>
    </w:p>
    <w:p w14:paraId="736F6B15"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1.</w:t>
      </w:r>
      <w:r>
        <w:rPr>
          <w:rFonts w:asciiTheme="minorHAnsi" w:eastAsiaTheme="minorEastAsia" w:hAnsiTheme="minorHAnsi" w:cstheme="minorBidi"/>
          <w:kern w:val="0"/>
          <w:sz w:val="24"/>
          <w:szCs w:val="24"/>
          <w:lang w:val="de-DE" w:eastAsia="ja-JP"/>
        </w:rPr>
        <w:tab/>
      </w:r>
      <w:r w:rsidRPr="000866F9">
        <w:rPr>
          <w:lang w:val="de-DE"/>
        </w:rPr>
        <w:t>Allgemeines</w:t>
      </w:r>
      <w:r>
        <w:tab/>
      </w:r>
      <w:r>
        <w:fldChar w:fldCharType="begin"/>
      </w:r>
      <w:r>
        <w:instrText xml:space="preserve"> PAGEREF _Toc246328779 \h </w:instrText>
      </w:r>
      <w:r>
        <w:fldChar w:fldCharType="separate"/>
      </w:r>
      <w:r w:rsidR="00477731">
        <w:t>23</w:t>
      </w:r>
      <w:r>
        <w:fldChar w:fldCharType="end"/>
      </w:r>
    </w:p>
    <w:p w14:paraId="146BFE8A"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2.</w:t>
      </w:r>
      <w:r>
        <w:rPr>
          <w:rFonts w:asciiTheme="minorHAnsi" w:eastAsiaTheme="minorEastAsia" w:hAnsiTheme="minorHAnsi" w:cstheme="minorBidi"/>
          <w:kern w:val="0"/>
          <w:sz w:val="24"/>
          <w:szCs w:val="24"/>
          <w:lang w:val="de-DE" w:eastAsia="ja-JP"/>
        </w:rPr>
        <w:tab/>
      </w:r>
      <w:r w:rsidRPr="000866F9">
        <w:rPr>
          <w:lang w:val="de-DE"/>
        </w:rPr>
        <w:t>Familienzulagen und Mutterschaftsentschädigung</w:t>
      </w:r>
      <w:r>
        <w:tab/>
      </w:r>
      <w:r>
        <w:fldChar w:fldCharType="begin"/>
      </w:r>
      <w:r>
        <w:instrText xml:space="preserve"> PAGEREF _Toc246328780 \h </w:instrText>
      </w:r>
      <w:r>
        <w:fldChar w:fldCharType="separate"/>
      </w:r>
      <w:r w:rsidR="00477731">
        <w:t>24</w:t>
      </w:r>
      <w:r>
        <w:fldChar w:fldCharType="end"/>
      </w:r>
    </w:p>
    <w:p w14:paraId="0E10BBFE"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3.</w:t>
      </w:r>
      <w:r>
        <w:rPr>
          <w:rFonts w:asciiTheme="minorHAnsi" w:eastAsiaTheme="minorEastAsia" w:hAnsiTheme="minorHAnsi" w:cstheme="minorBidi"/>
          <w:kern w:val="0"/>
          <w:sz w:val="24"/>
          <w:szCs w:val="24"/>
          <w:lang w:val="de-DE" w:eastAsia="ja-JP"/>
        </w:rPr>
        <w:tab/>
      </w:r>
      <w:r w:rsidRPr="000866F9">
        <w:rPr>
          <w:lang w:val="de-DE"/>
        </w:rPr>
        <w:t>Entschädigung für Betreuungskosten während der Eingliederung</w:t>
      </w:r>
      <w:r>
        <w:tab/>
      </w:r>
      <w:r>
        <w:fldChar w:fldCharType="begin"/>
      </w:r>
      <w:r>
        <w:instrText xml:space="preserve"> PAGEREF _Toc246328781 \h </w:instrText>
      </w:r>
      <w:r>
        <w:fldChar w:fldCharType="separate"/>
      </w:r>
      <w:r w:rsidR="00477731">
        <w:t>25</w:t>
      </w:r>
      <w:r>
        <w:fldChar w:fldCharType="end"/>
      </w:r>
    </w:p>
    <w:p w14:paraId="3308BA2B"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4.</w:t>
      </w:r>
      <w:r>
        <w:rPr>
          <w:rFonts w:asciiTheme="minorHAnsi" w:eastAsiaTheme="minorEastAsia" w:hAnsiTheme="minorHAnsi" w:cstheme="minorBidi"/>
          <w:kern w:val="0"/>
          <w:sz w:val="24"/>
          <w:szCs w:val="24"/>
          <w:lang w:val="de-DE" w:eastAsia="ja-JP"/>
        </w:rPr>
        <w:tab/>
      </w:r>
      <w:r w:rsidRPr="000866F9">
        <w:rPr>
          <w:lang w:val="de-DE"/>
        </w:rPr>
        <w:t>Erziehungs- und Betreuungsgutschriften</w:t>
      </w:r>
      <w:r>
        <w:tab/>
      </w:r>
      <w:r>
        <w:fldChar w:fldCharType="begin"/>
      </w:r>
      <w:r>
        <w:instrText xml:space="preserve"> PAGEREF _Toc246328782 \h </w:instrText>
      </w:r>
      <w:r>
        <w:fldChar w:fldCharType="separate"/>
      </w:r>
      <w:r w:rsidR="00477731">
        <w:t>26</w:t>
      </w:r>
      <w:r>
        <w:fldChar w:fldCharType="end"/>
      </w:r>
    </w:p>
    <w:p w14:paraId="70DAD49E" w14:textId="77777777" w:rsidR="00ED516F" w:rsidRDefault="00ED516F">
      <w:pPr>
        <w:pStyle w:val="Verzeichnis3"/>
        <w:tabs>
          <w:tab w:val="left" w:pos="1305"/>
        </w:tabs>
        <w:rPr>
          <w:rFonts w:asciiTheme="minorHAnsi" w:eastAsiaTheme="minorEastAsia" w:hAnsiTheme="minorHAnsi" w:cstheme="minorBidi"/>
          <w:kern w:val="0"/>
          <w:sz w:val="24"/>
          <w:szCs w:val="24"/>
          <w:lang w:val="de-DE" w:eastAsia="ja-JP"/>
        </w:rPr>
      </w:pPr>
      <w:r w:rsidRPr="000866F9">
        <w:rPr>
          <w:lang w:val="de-DE"/>
        </w:rPr>
        <w:t>5.</w:t>
      </w:r>
      <w:r>
        <w:rPr>
          <w:rFonts w:asciiTheme="minorHAnsi" w:eastAsiaTheme="minorEastAsia" w:hAnsiTheme="minorHAnsi" w:cstheme="minorBidi"/>
          <w:kern w:val="0"/>
          <w:sz w:val="24"/>
          <w:szCs w:val="24"/>
          <w:lang w:val="de-DE" w:eastAsia="ja-JP"/>
        </w:rPr>
        <w:tab/>
      </w:r>
      <w:r w:rsidRPr="000866F9">
        <w:rPr>
          <w:lang w:val="de-DE"/>
        </w:rPr>
        <w:t>Invaliditätsbemessung bei pflegenden Angehörigen</w:t>
      </w:r>
      <w:r>
        <w:tab/>
      </w:r>
      <w:r>
        <w:fldChar w:fldCharType="begin"/>
      </w:r>
      <w:r>
        <w:instrText xml:space="preserve"> PAGEREF _Toc246328783 \h </w:instrText>
      </w:r>
      <w:r>
        <w:fldChar w:fldCharType="separate"/>
      </w:r>
      <w:r w:rsidR="00477731">
        <w:t>26</w:t>
      </w:r>
      <w:r>
        <w:fldChar w:fldCharType="end"/>
      </w:r>
    </w:p>
    <w:p w14:paraId="161B98CD" w14:textId="3BC1BD6D" w:rsidR="00ED516F" w:rsidRDefault="00ED516F">
      <w:pPr>
        <w:pStyle w:val="Verzeichnis1"/>
        <w:rPr>
          <w:rFonts w:asciiTheme="minorHAnsi" w:eastAsiaTheme="minorEastAsia" w:hAnsiTheme="minorHAnsi" w:cstheme="minorBidi"/>
          <w:b w:val="0"/>
          <w:kern w:val="0"/>
          <w:sz w:val="24"/>
          <w:szCs w:val="24"/>
          <w:lang w:val="de-DE" w:eastAsia="ja-JP"/>
        </w:rPr>
      </w:pPr>
      <w:r>
        <w:t>Literaturverzeichnis</w:t>
      </w:r>
      <w:r>
        <w:tab/>
      </w:r>
      <w:r>
        <w:fldChar w:fldCharType="begin"/>
      </w:r>
      <w:r>
        <w:instrText xml:space="preserve"> PAGEREF _Toc246328784 \h </w:instrText>
      </w:r>
      <w:r>
        <w:fldChar w:fldCharType="separate"/>
      </w:r>
      <w:r w:rsidR="00477731">
        <w:t>28</w:t>
      </w:r>
      <w:r>
        <w:fldChar w:fldCharType="end"/>
      </w:r>
    </w:p>
    <w:p w14:paraId="61C85826" w14:textId="2E9E0AA5" w:rsidR="005458EC" w:rsidRDefault="00ED516F">
      <w:r>
        <w:rPr>
          <w:rFonts w:ascii="Syntax" w:hAnsi="Syntax"/>
          <w:noProof/>
          <w:kern w:val="18"/>
          <w:sz w:val="17"/>
        </w:rPr>
        <w:fldChar w:fldCharType="end"/>
      </w:r>
    </w:p>
    <w:p w14:paraId="5DEA9D0B" w14:textId="77777777" w:rsidR="005458EC" w:rsidRDefault="001906EB">
      <w:pPr>
        <w:pStyle w:val="berschrift1"/>
      </w:pPr>
      <w:bookmarkStart w:id="1" w:name="_Toc246328736"/>
      <w:r>
        <w:t>Einführung</w:t>
      </w:r>
      <w:bookmarkEnd w:id="1"/>
    </w:p>
    <w:p w14:paraId="0C9796C6" w14:textId="29A8D3B5" w:rsidR="005458EC" w:rsidRDefault="001906EB">
      <w:pPr>
        <w:pStyle w:val="Grundtext"/>
        <w:rPr>
          <w:lang w:val="de-DE"/>
        </w:rPr>
      </w:pPr>
      <w:r>
        <w:t>Die sozialrechtliche Stellung der Kinde</w:t>
      </w:r>
      <w:r w:rsidR="00927410">
        <w:t>r und Jugendlichen unterscheidet</w:t>
      </w:r>
      <w:r>
        <w:t xml:space="preserve"> sich</w:t>
      </w:r>
      <w:r w:rsidR="00927410">
        <w:t xml:space="preserve"> in</w:t>
      </w:r>
      <w:r>
        <w:t xml:space="preserve"> mehrfacher Hinsicht von derjenigen der Erwachsenen. Die Bundesverfassung</w:t>
      </w:r>
      <w:r w:rsidR="00933A83">
        <w:t xml:space="preserve"> </w:t>
      </w:r>
      <w:r>
        <w:t xml:space="preserve">statuiert zu Gunsten der Kinder und Jugendlichen </w:t>
      </w:r>
      <w:r w:rsidR="00F565FB">
        <w:t xml:space="preserve">zunächst </w:t>
      </w:r>
      <w:r>
        <w:t>einen</w:t>
      </w:r>
      <w:r w:rsidR="00F565FB">
        <w:t xml:space="preserve"> allgemeinen</w:t>
      </w:r>
      <w:r>
        <w:t xml:space="preserve"> Anspruch auf besonderen Schutz ihrer Unversehrtheit und auf Förderung ihrer Entwicklung</w:t>
      </w:r>
      <w:r>
        <w:rPr>
          <w:rStyle w:val="Funotenzeichen"/>
        </w:rPr>
        <w:footnoteReference w:id="2"/>
      </w:r>
      <w:r w:rsidR="00E7046D">
        <w:t>.</w:t>
      </w:r>
      <w:r w:rsidR="00927410">
        <w:t xml:space="preserve"> Die Bundesverfassung verpflichtet Bund und Kantone ferner, zu Gunsten der Kinder und Jugendlichen diverse Massnahmen zu ergreifen</w:t>
      </w:r>
      <w:r w:rsidR="00927410">
        <w:rPr>
          <w:rStyle w:val="Funotenzeichen"/>
        </w:rPr>
        <w:footnoteReference w:id="3"/>
      </w:r>
      <w:r w:rsidR="00E7046D">
        <w:t>.</w:t>
      </w:r>
      <w:r w:rsidR="00927410">
        <w:t xml:space="preserve"> Die Kantone</w:t>
      </w:r>
      <w:r w:rsidR="00927410" w:rsidRPr="00927410">
        <w:rPr>
          <w:lang w:val="de-DE"/>
        </w:rPr>
        <w:t xml:space="preserve"> </w:t>
      </w:r>
      <w:r w:rsidR="00927410">
        <w:rPr>
          <w:lang w:val="de-DE"/>
        </w:rPr>
        <w:t xml:space="preserve">haben insbesondere </w:t>
      </w:r>
      <w:r w:rsidR="00927410" w:rsidRPr="00927410">
        <w:rPr>
          <w:lang w:val="de-DE"/>
        </w:rPr>
        <w:t>für einen ausreichenden Grundschulunterricht, der allen Kindern offen steht</w:t>
      </w:r>
      <w:r w:rsidR="00927410">
        <w:rPr>
          <w:lang w:val="de-DE"/>
        </w:rPr>
        <w:t xml:space="preserve"> und an öffentlichen Schulen unentgeltlich ist, zu so</w:t>
      </w:r>
      <w:r w:rsidR="00927410">
        <w:rPr>
          <w:lang w:val="de-DE"/>
        </w:rPr>
        <w:t>r</w:t>
      </w:r>
      <w:r w:rsidR="00927410">
        <w:rPr>
          <w:lang w:val="de-DE"/>
        </w:rPr>
        <w:t>gen</w:t>
      </w:r>
      <w:r w:rsidR="00927410">
        <w:rPr>
          <w:rStyle w:val="Funotenzeichen"/>
          <w:lang w:val="de-DE"/>
        </w:rPr>
        <w:footnoteReference w:id="4"/>
      </w:r>
      <w:r w:rsidR="00927410">
        <w:rPr>
          <w:lang w:val="de-DE"/>
        </w:rPr>
        <w:t>.</w:t>
      </w:r>
      <w:r w:rsidR="000648A2">
        <w:rPr>
          <w:lang w:val="de-DE"/>
        </w:rPr>
        <w:t xml:space="preserve"> </w:t>
      </w:r>
      <w:r w:rsidR="00046EEE">
        <w:rPr>
          <w:lang w:val="de-DE"/>
        </w:rPr>
        <w:t xml:space="preserve">Die verfassungsmässigen </w:t>
      </w:r>
      <w:r w:rsidR="000648A2">
        <w:rPr>
          <w:lang w:val="de-DE"/>
        </w:rPr>
        <w:t>Ansprüche</w:t>
      </w:r>
      <w:r w:rsidR="00046EEE">
        <w:rPr>
          <w:lang w:val="de-DE"/>
        </w:rPr>
        <w:t xml:space="preserve"> und</w:t>
      </w:r>
      <w:r w:rsidR="000648A2">
        <w:rPr>
          <w:lang w:val="de-DE"/>
        </w:rPr>
        <w:t xml:space="preserve"> Gesetzgeb</w:t>
      </w:r>
      <w:r w:rsidR="00D25B4D">
        <w:rPr>
          <w:lang w:val="de-DE"/>
        </w:rPr>
        <w:t xml:space="preserve">ungsaufträge sind schliesslich </w:t>
      </w:r>
      <w:r w:rsidR="00046EEE">
        <w:rPr>
          <w:lang w:val="de-DE"/>
        </w:rPr>
        <w:t xml:space="preserve">eingebettet </w:t>
      </w:r>
      <w:r w:rsidR="000648A2">
        <w:rPr>
          <w:lang w:val="de-DE"/>
        </w:rPr>
        <w:t>in das Alters-</w:t>
      </w:r>
      <w:r w:rsidR="00682F24">
        <w:rPr>
          <w:rStyle w:val="Funotenzeichen"/>
          <w:lang w:val="de-DE"/>
        </w:rPr>
        <w:footnoteReference w:id="5"/>
      </w:r>
      <w:r w:rsidR="000648A2">
        <w:rPr>
          <w:lang w:val="de-DE"/>
        </w:rPr>
        <w:t xml:space="preserve"> und Behindertendiskriminierungsverbot</w:t>
      </w:r>
      <w:r w:rsidR="00E57BC0">
        <w:rPr>
          <w:rStyle w:val="Funotenzeichen"/>
          <w:lang w:val="de-DE"/>
        </w:rPr>
        <w:footnoteReference w:id="6"/>
      </w:r>
      <w:r w:rsidR="00BF578A">
        <w:rPr>
          <w:lang w:val="de-DE"/>
        </w:rPr>
        <w:t>.</w:t>
      </w:r>
    </w:p>
    <w:p w14:paraId="3091A202" w14:textId="53AFE46E" w:rsidR="00864650" w:rsidRDefault="00927410">
      <w:pPr>
        <w:pStyle w:val="Grundtext"/>
        <w:rPr>
          <w:lang w:val="de-DE"/>
        </w:rPr>
      </w:pPr>
      <w:r>
        <w:rPr>
          <w:lang w:val="de-DE"/>
        </w:rPr>
        <w:t>Eine Sonderstellung nehmen Kinder und Jugendliche ferner in sozialversich</w:t>
      </w:r>
      <w:r>
        <w:rPr>
          <w:lang w:val="de-DE"/>
        </w:rPr>
        <w:t>e</w:t>
      </w:r>
      <w:r>
        <w:rPr>
          <w:lang w:val="de-DE"/>
        </w:rPr>
        <w:t xml:space="preserve">rungsrechtlicher Hinsicht ein. Als Teil der ständigen Wohnbevölkerung sind Kinder und Jugendliche lediglich in den beiden Volksversicherungen </w:t>
      </w:r>
      <w:r>
        <w:rPr>
          <w:rFonts w:ascii="Optima" w:hAnsi="Optima"/>
          <w:lang w:val="de-DE"/>
        </w:rPr>
        <w:t>«</w:t>
      </w:r>
      <w:r>
        <w:rPr>
          <w:lang w:val="de-DE"/>
        </w:rPr>
        <w:t>IV</w:t>
      </w:r>
      <w:r>
        <w:rPr>
          <w:rFonts w:ascii="Optima" w:hAnsi="Optima"/>
          <w:lang w:val="de-DE"/>
        </w:rPr>
        <w:t>»</w:t>
      </w:r>
      <w:r>
        <w:rPr>
          <w:lang w:val="de-DE"/>
        </w:rPr>
        <w:t xml:space="preserve"> und </w:t>
      </w:r>
      <w:r>
        <w:rPr>
          <w:rFonts w:ascii="Optima" w:hAnsi="Optima"/>
          <w:lang w:val="de-DE"/>
        </w:rPr>
        <w:t>«</w:t>
      </w:r>
      <w:r>
        <w:rPr>
          <w:lang w:val="de-DE"/>
        </w:rPr>
        <w:t>Krankenversicherung</w:t>
      </w:r>
      <w:r>
        <w:rPr>
          <w:rFonts w:ascii="Optima" w:hAnsi="Optima"/>
          <w:lang w:val="de-DE"/>
        </w:rPr>
        <w:t>»</w:t>
      </w:r>
      <w:r>
        <w:rPr>
          <w:lang w:val="de-DE"/>
        </w:rPr>
        <w:t xml:space="preserve"> minimal versichert.</w:t>
      </w:r>
      <w:r w:rsidR="00F565FB">
        <w:rPr>
          <w:lang w:val="de-DE"/>
        </w:rPr>
        <w:t xml:space="preserve"> </w:t>
      </w:r>
      <w:r w:rsidR="00864650">
        <w:rPr>
          <w:lang w:val="de-DE"/>
        </w:rPr>
        <w:t>Die IV sieht in Art. 13 IVG eine nur für Kinder zugeschnittene Versicherungsleistung bei Geburtsgebrechen vor</w:t>
      </w:r>
      <w:r w:rsidR="00864650">
        <w:rPr>
          <w:rStyle w:val="Funotenzeichen"/>
          <w:lang w:val="de-DE"/>
        </w:rPr>
        <w:footnoteReference w:id="7"/>
      </w:r>
      <w:r w:rsidR="000E3BEA">
        <w:rPr>
          <w:lang w:val="de-DE"/>
        </w:rPr>
        <w:t>.</w:t>
      </w:r>
    </w:p>
    <w:p w14:paraId="2E7FF35C" w14:textId="01D62B7A" w:rsidR="00927410" w:rsidRDefault="00F565FB">
      <w:pPr>
        <w:pStyle w:val="Grundtext"/>
      </w:pPr>
      <w:r>
        <w:rPr>
          <w:lang w:val="de-DE"/>
        </w:rPr>
        <w:t>Ein weitergehender unfallversicherungsrechtlicher Schutz besteht dann, wenn der Jugendliche als Lehrling oder Praktikant erwerbstätig ist</w:t>
      </w:r>
      <w:r>
        <w:rPr>
          <w:rStyle w:val="Funotenzeichen"/>
          <w:lang w:val="de-DE"/>
        </w:rPr>
        <w:footnoteReference w:id="8"/>
      </w:r>
      <w:r w:rsidR="00BF578A">
        <w:rPr>
          <w:lang w:val="de-DE"/>
        </w:rPr>
        <w:t>.</w:t>
      </w:r>
      <w:r w:rsidR="00010A3C">
        <w:rPr>
          <w:lang w:val="de-DE"/>
        </w:rPr>
        <w:t xml:space="preserve"> </w:t>
      </w:r>
      <w:r w:rsidR="006B2132">
        <w:rPr>
          <w:lang w:val="de-DE"/>
        </w:rPr>
        <w:t>Erwerbstätige Jugendliche sin</w:t>
      </w:r>
      <w:r w:rsidR="00485992">
        <w:rPr>
          <w:lang w:val="de-DE"/>
        </w:rPr>
        <w:t xml:space="preserve">d sodann ab dem </w:t>
      </w:r>
      <w:r w:rsidR="00C47EFE">
        <w:rPr>
          <w:lang w:val="de-DE"/>
        </w:rPr>
        <w:t xml:space="preserve">Ende des Jahres der Vollendung des </w:t>
      </w:r>
      <w:r w:rsidR="00485992">
        <w:rPr>
          <w:lang w:val="de-DE"/>
        </w:rPr>
        <w:t>17. Alter</w:t>
      </w:r>
      <w:r w:rsidR="00485992">
        <w:rPr>
          <w:lang w:val="de-DE"/>
        </w:rPr>
        <w:t>s</w:t>
      </w:r>
      <w:r w:rsidR="00485992">
        <w:rPr>
          <w:lang w:val="de-DE"/>
        </w:rPr>
        <w:t>jahr</w:t>
      </w:r>
      <w:r w:rsidR="00C47EFE">
        <w:rPr>
          <w:lang w:val="de-DE"/>
        </w:rPr>
        <w:t>es</w:t>
      </w:r>
      <w:r w:rsidR="00485992">
        <w:rPr>
          <w:lang w:val="de-DE"/>
        </w:rPr>
        <w:t xml:space="preserve"> v</w:t>
      </w:r>
      <w:r w:rsidR="006B2132">
        <w:rPr>
          <w:lang w:val="de-DE"/>
        </w:rPr>
        <w:t>orsorgeversicher</w:t>
      </w:r>
      <w:r w:rsidR="00485992">
        <w:rPr>
          <w:lang w:val="de-DE"/>
        </w:rPr>
        <w:t>t</w:t>
      </w:r>
      <w:r w:rsidR="006B2132">
        <w:rPr>
          <w:lang w:val="de-DE"/>
        </w:rPr>
        <w:t xml:space="preserve"> und müssen AHV-Beiträge</w:t>
      </w:r>
      <w:r w:rsidR="00933A83">
        <w:rPr>
          <w:lang w:val="de-DE"/>
        </w:rPr>
        <w:t xml:space="preserve"> </w:t>
      </w:r>
      <w:r w:rsidR="006B2132">
        <w:rPr>
          <w:lang w:val="de-DE"/>
        </w:rPr>
        <w:t>entrichten</w:t>
      </w:r>
      <w:r w:rsidR="006B2132">
        <w:rPr>
          <w:rStyle w:val="Funotenzeichen"/>
          <w:lang w:val="de-DE"/>
        </w:rPr>
        <w:footnoteReference w:id="9"/>
      </w:r>
      <w:r w:rsidR="00BF578A">
        <w:rPr>
          <w:lang w:val="de-DE"/>
        </w:rPr>
        <w:t>.</w:t>
      </w:r>
    </w:p>
    <w:p w14:paraId="7DA7EA8F" w14:textId="77777777" w:rsidR="001906EB" w:rsidRPr="001906EB" w:rsidRDefault="001906EB" w:rsidP="001906EB">
      <w:pPr>
        <w:pStyle w:val="berschrift1"/>
        <w:rPr>
          <w:lang w:val="de-DE"/>
        </w:rPr>
      </w:pPr>
      <w:bookmarkStart w:id="4" w:name="_Toc246328737"/>
      <w:r w:rsidRPr="001906EB">
        <w:rPr>
          <w:lang w:val="de-DE"/>
        </w:rPr>
        <w:t>Kinder als Täter</w:t>
      </w:r>
      <w:bookmarkEnd w:id="4"/>
    </w:p>
    <w:p w14:paraId="2DDE5D7F" w14:textId="77777777" w:rsidR="001906EB" w:rsidRDefault="001906EB" w:rsidP="001906EB">
      <w:pPr>
        <w:pStyle w:val="berschrift2"/>
        <w:rPr>
          <w:lang w:val="de-DE"/>
        </w:rPr>
      </w:pPr>
      <w:bookmarkStart w:id="5" w:name="_Toc246328738"/>
      <w:r w:rsidRPr="001906EB">
        <w:rPr>
          <w:lang w:val="de-DE"/>
        </w:rPr>
        <w:t>Allgemeines</w:t>
      </w:r>
      <w:bookmarkEnd w:id="5"/>
    </w:p>
    <w:p w14:paraId="43DF0623" w14:textId="2ABD51D9" w:rsidR="00104E28" w:rsidRDefault="00B24114" w:rsidP="00F565FB">
      <w:pPr>
        <w:pStyle w:val="Grundtext"/>
      </w:pPr>
      <w:r>
        <w:t>Kinder sind grundsätzlich deliktsfähig</w:t>
      </w:r>
      <w:r>
        <w:rPr>
          <w:rStyle w:val="Funotenzeichen"/>
        </w:rPr>
        <w:footnoteReference w:id="10"/>
      </w:r>
      <w:r>
        <w:t xml:space="preserve"> und haften für widerrechtlich verursachte Personen-</w:t>
      </w:r>
      <w:r w:rsidR="00104E28">
        <w:t>,</w:t>
      </w:r>
      <w:r>
        <w:t xml:space="preserve"> Sach</w:t>
      </w:r>
      <w:r w:rsidR="00104E28">
        <w:t>-</w:t>
      </w:r>
      <w:r>
        <w:t xml:space="preserve"> oder</w:t>
      </w:r>
      <w:r w:rsidR="00104E28">
        <w:t xml:space="preserve"> Vermögensschä</w:t>
      </w:r>
      <w:r>
        <w:t xml:space="preserve">den, sofern und soweit sie im Zeitpunkt der Schaden verursachenden Handlung urteilsfähig gewesen sind. </w:t>
      </w:r>
      <w:r w:rsidR="00A80749" w:rsidRPr="00F565FB">
        <w:t>Urteilsunfäh</w:t>
      </w:r>
      <w:r w:rsidR="00A80749" w:rsidRPr="00F565FB">
        <w:t>i</w:t>
      </w:r>
      <w:r w:rsidR="00A80749" w:rsidRPr="00F565FB">
        <w:t>ge haften grundsätzlich nicht</w:t>
      </w:r>
      <w:r w:rsidR="00A80749" w:rsidRPr="00F565FB">
        <w:rPr>
          <w:vertAlign w:val="superscript"/>
        </w:rPr>
        <w:footnoteReference w:id="11"/>
      </w:r>
      <w:r w:rsidR="00BF578A">
        <w:t>,</w:t>
      </w:r>
      <w:r w:rsidR="00A80749">
        <w:t xml:space="preserve"> bzw.</w:t>
      </w:r>
      <w:r w:rsidR="00A80749" w:rsidRPr="00F565FB">
        <w:rPr>
          <w:lang w:val="de-DE"/>
        </w:rPr>
        <w:t xml:space="preserve"> entweder nach Billigkeit oder uneing</w:t>
      </w:r>
      <w:r w:rsidR="00A80749" w:rsidRPr="00F565FB">
        <w:rPr>
          <w:lang w:val="de-DE"/>
        </w:rPr>
        <w:t>e</w:t>
      </w:r>
      <w:r w:rsidR="00A80749" w:rsidRPr="00F565FB">
        <w:rPr>
          <w:lang w:val="de-DE"/>
        </w:rPr>
        <w:t>schränkt, wenn sie die Urteilsunfähigkeit pflichtwidrig herbeigeführt haben</w:t>
      </w:r>
      <w:r w:rsidR="00A80749" w:rsidRPr="00F565FB">
        <w:rPr>
          <w:vertAlign w:val="superscript"/>
          <w:lang w:val="de-DE"/>
        </w:rPr>
        <w:footnoteReference w:id="12"/>
      </w:r>
      <w:r w:rsidR="00BF578A">
        <w:rPr>
          <w:lang w:val="de-DE"/>
        </w:rPr>
        <w:t>.</w:t>
      </w:r>
      <w:r w:rsidR="00A80749">
        <w:rPr>
          <w:lang w:val="de-DE"/>
        </w:rPr>
        <w:t xml:space="preserve"> </w:t>
      </w:r>
      <w:r w:rsidR="00F565FB" w:rsidRPr="00F565FB">
        <w:t>Art. 16 ff. ZGB unterscheiden lediglich zwischen Urteilsfähigkeit und Urteilsu</w:t>
      </w:r>
      <w:r w:rsidR="00F565FB" w:rsidRPr="00F565FB">
        <w:t>n</w:t>
      </w:r>
      <w:r w:rsidR="00F565FB" w:rsidRPr="00F565FB">
        <w:t>fähigkeit; eine verminderte Urteilsfähigkeit kennt das Privatrecht nicht</w:t>
      </w:r>
      <w:r w:rsidR="00F565FB" w:rsidRPr="00F565FB">
        <w:rPr>
          <w:vertAlign w:val="superscript"/>
        </w:rPr>
        <w:footnoteReference w:id="13"/>
      </w:r>
      <w:r w:rsidR="00BF578A">
        <w:t>.</w:t>
      </w:r>
      <w:r w:rsidR="00F565FB" w:rsidRPr="00F565FB">
        <w:t xml:space="preserve"> </w:t>
      </w:r>
    </w:p>
    <w:p w14:paraId="46B59A31" w14:textId="74495BB6" w:rsidR="001906EB" w:rsidRPr="001906EB" w:rsidRDefault="00F565FB" w:rsidP="00F565FB">
      <w:pPr>
        <w:pStyle w:val="Grundtext"/>
      </w:pPr>
      <w:r w:rsidRPr="00F565FB">
        <w:t>Die Urteils(un)fähigkeit beurteilt sich relativ je nach den persönlichen Umstä</w:t>
      </w:r>
      <w:r w:rsidRPr="00F565FB">
        <w:t>n</w:t>
      </w:r>
      <w:r w:rsidRPr="00F565FB">
        <w:t xml:space="preserve">den und der tatsächlichen Situation, in der sich der Schadenverursacher befand. Eine strafrechtliche Zurechnungsunfähigkeit schliesst sodann nicht aus, dass der Täter zur Zahlung </w:t>
      </w:r>
      <w:r w:rsidR="00104E28">
        <w:t>von Schadenersatz und Genugtuung</w:t>
      </w:r>
      <w:r w:rsidRPr="00F565FB">
        <w:t xml:space="preserve"> verpflichtet wird.</w:t>
      </w:r>
      <w:r w:rsidR="00104E28">
        <w:t xml:space="preserve"> </w:t>
      </w:r>
      <w:r w:rsidRPr="00F565FB">
        <w:t xml:space="preserve">Bei Kindern wird auf die durchschnittliche Entwicklung abgestellt und deshalb die Urteils(un)fähigkeit nach Altersklassen aufgegliedert. </w:t>
      </w:r>
      <w:r w:rsidR="00864650">
        <w:t>Gemäss der Recht</w:t>
      </w:r>
      <w:r w:rsidRPr="00F565FB">
        <w:t>spre</w:t>
      </w:r>
      <w:r w:rsidR="00A80749">
        <w:softHyphen/>
      </w:r>
      <w:r w:rsidRPr="00F565FB">
        <w:t>chung des Bundesgerichts werden Vierzehn- bis Sechzehnjährige in Bezug auf einfachere Sachverhalte weitgehend den Erwachsenen gleichgestellt</w:t>
      </w:r>
      <w:r w:rsidRPr="00F565FB">
        <w:rPr>
          <w:vertAlign w:val="superscript"/>
        </w:rPr>
        <w:footnoteReference w:id="14"/>
      </w:r>
      <w:r w:rsidR="00BF578A">
        <w:t>.</w:t>
      </w:r>
      <w:r w:rsidRPr="00F565FB">
        <w:t xml:space="preserve"> Die U</w:t>
      </w:r>
      <w:r w:rsidRPr="00F565FB">
        <w:t>r</w:t>
      </w:r>
      <w:r w:rsidRPr="00F565FB">
        <w:t>teilsfähigkeit bzw. ein Selbstverschulden wird bei Kindern generell milder beu</w:t>
      </w:r>
      <w:r w:rsidRPr="00F565FB">
        <w:t>r</w:t>
      </w:r>
      <w:r w:rsidRPr="00F565FB">
        <w:t>teilt als dasjenige von voll urteilsfähigen Erwachsenen</w:t>
      </w:r>
      <w:r w:rsidRPr="00F565FB">
        <w:rPr>
          <w:vertAlign w:val="superscript"/>
        </w:rPr>
        <w:footnoteReference w:id="15"/>
      </w:r>
      <w:r w:rsidR="00BF578A">
        <w:t>.</w:t>
      </w:r>
    </w:p>
    <w:p w14:paraId="3FE92776" w14:textId="6E0F2D30" w:rsidR="001906EB" w:rsidRDefault="001906EB" w:rsidP="001906EB">
      <w:pPr>
        <w:pStyle w:val="berschrift2"/>
        <w:rPr>
          <w:lang w:val="de-DE"/>
        </w:rPr>
      </w:pPr>
      <w:bookmarkStart w:id="6" w:name="_Toc246328739"/>
      <w:r>
        <w:rPr>
          <w:lang w:val="de-DE"/>
        </w:rPr>
        <w:t>Sozialversicherungs</w:t>
      </w:r>
      <w:r w:rsidR="00A80749">
        <w:rPr>
          <w:lang w:val="de-DE"/>
        </w:rPr>
        <w:t>r</w:t>
      </w:r>
      <w:r w:rsidRPr="001906EB">
        <w:rPr>
          <w:lang w:val="de-DE"/>
        </w:rPr>
        <w:t>egress</w:t>
      </w:r>
      <w:bookmarkEnd w:id="6"/>
      <w:r w:rsidRPr="001906EB">
        <w:rPr>
          <w:lang w:val="de-DE"/>
        </w:rPr>
        <w:t xml:space="preserve"> </w:t>
      </w:r>
    </w:p>
    <w:p w14:paraId="6E9BB5A7" w14:textId="77777777" w:rsidR="001906EB" w:rsidRPr="001906EB" w:rsidRDefault="001906EB" w:rsidP="001906EB">
      <w:pPr>
        <w:pStyle w:val="berschrift3"/>
        <w:rPr>
          <w:lang w:val="de-DE"/>
        </w:rPr>
      </w:pPr>
      <w:bookmarkStart w:id="7" w:name="_Toc246328740"/>
      <w:r>
        <w:rPr>
          <w:lang w:val="de-DE"/>
        </w:rPr>
        <w:t xml:space="preserve">Regress </w:t>
      </w:r>
      <w:r w:rsidRPr="001906EB">
        <w:rPr>
          <w:lang w:val="de-DE"/>
        </w:rPr>
        <w:t>auf Kinder</w:t>
      </w:r>
      <w:bookmarkEnd w:id="7"/>
    </w:p>
    <w:p w14:paraId="6694B510" w14:textId="6173B827" w:rsidR="001906EB" w:rsidRPr="001906EB" w:rsidRDefault="00776496" w:rsidP="001906EB">
      <w:pPr>
        <w:pStyle w:val="Grundtext"/>
        <w:rPr>
          <w:lang w:val="de-DE"/>
        </w:rPr>
      </w:pPr>
      <w:r>
        <w:rPr>
          <w:lang w:val="de-DE"/>
        </w:rPr>
        <w:t>Hat ein Kind einen Personenschaden in haftungsbegründender Weise verursacht und müssen ein oder mehrere Sozialversicherer Versicherungsleistung</w:t>
      </w:r>
      <w:r w:rsidR="00477731">
        <w:rPr>
          <w:lang w:val="de-DE"/>
        </w:rPr>
        <w:t>en</w:t>
      </w:r>
      <w:r>
        <w:rPr>
          <w:lang w:val="de-DE"/>
        </w:rPr>
        <w:t xml:space="preserve"> erbri</w:t>
      </w:r>
      <w:r>
        <w:rPr>
          <w:lang w:val="de-DE"/>
        </w:rPr>
        <w:t>n</w:t>
      </w:r>
      <w:r>
        <w:rPr>
          <w:lang w:val="de-DE"/>
        </w:rPr>
        <w:t xml:space="preserve">gen, so steht dem </w:t>
      </w:r>
      <w:r w:rsidR="00111195">
        <w:rPr>
          <w:lang w:val="de-DE"/>
        </w:rPr>
        <w:t xml:space="preserve">jeweiligen </w:t>
      </w:r>
      <w:r>
        <w:rPr>
          <w:lang w:val="de-DE"/>
        </w:rPr>
        <w:t>Sozialversicherer ein integrales Regressrecht zu</w:t>
      </w:r>
      <w:r>
        <w:rPr>
          <w:rStyle w:val="Funotenzeichen"/>
          <w:lang w:val="de-DE"/>
        </w:rPr>
        <w:footnoteReference w:id="16"/>
      </w:r>
      <w:r w:rsidR="00BF578A">
        <w:rPr>
          <w:lang w:val="de-DE"/>
        </w:rPr>
        <w:t>.</w:t>
      </w:r>
      <w:r w:rsidR="00CC3B64">
        <w:rPr>
          <w:lang w:val="de-DE"/>
        </w:rPr>
        <w:t xml:space="preserve"> D</w:t>
      </w:r>
      <w:r w:rsidR="00A80749">
        <w:rPr>
          <w:lang w:val="de-DE"/>
        </w:rPr>
        <w:t>ieses</w:t>
      </w:r>
      <w:r w:rsidR="00CC3B64">
        <w:rPr>
          <w:lang w:val="de-DE"/>
        </w:rPr>
        <w:t xml:space="preserve"> Regressrecht kann lediglich in dem Umfang ausgeübt werden, wie das schadenverursachende Kind haftungsrechtlich zur Verantwortung gezogen we</w:t>
      </w:r>
      <w:r w:rsidR="00CC3B64">
        <w:rPr>
          <w:lang w:val="de-DE"/>
        </w:rPr>
        <w:t>r</w:t>
      </w:r>
      <w:r w:rsidR="00CC3B64">
        <w:rPr>
          <w:lang w:val="de-DE"/>
        </w:rPr>
        <w:t>den kann.</w:t>
      </w:r>
    </w:p>
    <w:p w14:paraId="71F30824" w14:textId="77777777" w:rsidR="001906EB" w:rsidRDefault="001906EB" w:rsidP="001906EB">
      <w:pPr>
        <w:pStyle w:val="berschrift3"/>
        <w:rPr>
          <w:lang w:val="de-DE"/>
        </w:rPr>
      </w:pPr>
      <w:bookmarkStart w:id="8" w:name="_Toc246328741"/>
      <w:r w:rsidRPr="001906EB">
        <w:rPr>
          <w:lang w:val="de-DE"/>
        </w:rPr>
        <w:t>Regress auf Eltern</w:t>
      </w:r>
      <w:bookmarkEnd w:id="8"/>
    </w:p>
    <w:p w14:paraId="0AA793F1" w14:textId="526B7D45" w:rsidR="00CC3B64" w:rsidRPr="00CC3B64" w:rsidRDefault="00CC3B64" w:rsidP="00CC3B64">
      <w:pPr>
        <w:pStyle w:val="Grundtext"/>
        <w:rPr>
          <w:lang w:val="de-DE"/>
        </w:rPr>
      </w:pPr>
      <w:r>
        <w:t xml:space="preserve">Die Eltern des schadenverursachenden Kindes haften gemäss Art. 333 ZGB, </w:t>
      </w:r>
      <w:r w:rsidRPr="00CC3B64">
        <w:rPr>
          <w:lang w:val="de-DE"/>
        </w:rPr>
        <w:t xml:space="preserve">insofern </w:t>
      </w:r>
      <w:r>
        <w:rPr>
          <w:lang w:val="de-DE"/>
        </w:rPr>
        <w:t xml:space="preserve">sie </w:t>
      </w:r>
      <w:r w:rsidRPr="00CC3B64">
        <w:rPr>
          <w:lang w:val="de-DE"/>
        </w:rPr>
        <w:t>nicht darzutun verm</w:t>
      </w:r>
      <w:r>
        <w:rPr>
          <w:lang w:val="de-DE"/>
        </w:rPr>
        <w:t>ö</w:t>
      </w:r>
      <w:r w:rsidRPr="00CC3B64">
        <w:rPr>
          <w:lang w:val="de-DE"/>
        </w:rPr>
        <w:t>g</w:t>
      </w:r>
      <w:r>
        <w:rPr>
          <w:lang w:val="de-DE"/>
        </w:rPr>
        <w:t>en, dass sie</w:t>
      </w:r>
      <w:r w:rsidRPr="00CC3B64">
        <w:rPr>
          <w:lang w:val="de-DE"/>
        </w:rPr>
        <w:t xml:space="preserve"> das übliche und durch die U</w:t>
      </w:r>
      <w:r w:rsidRPr="00CC3B64">
        <w:rPr>
          <w:lang w:val="de-DE"/>
        </w:rPr>
        <w:t>m</w:t>
      </w:r>
      <w:r w:rsidRPr="00CC3B64">
        <w:rPr>
          <w:lang w:val="de-DE"/>
        </w:rPr>
        <w:t>stände gebotene Mass von Sorgfalt in der Be</w:t>
      </w:r>
      <w:r>
        <w:rPr>
          <w:lang w:val="de-DE"/>
        </w:rPr>
        <w:t>aufsichtigung beobachtet haben</w:t>
      </w:r>
      <w:r w:rsidRPr="00CC3B64">
        <w:rPr>
          <w:lang w:val="de-DE"/>
        </w:rPr>
        <w:t>.</w:t>
      </w:r>
      <w:r w:rsidR="00111195">
        <w:rPr>
          <w:lang w:val="de-DE"/>
        </w:rPr>
        <w:t xml:space="preserve"> </w:t>
      </w:r>
    </w:p>
    <w:p w14:paraId="4E039678" w14:textId="7AB047AA" w:rsidR="00CC3B64" w:rsidRPr="00CC3B64" w:rsidRDefault="00CC3B64" w:rsidP="00CC3B64">
      <w:pPr>
        <w:pStyle w:val="berschrift3"/>
      </w:pPr>
      <w:bookmarkStart w:id="9" w:name="_Toc246328742"/>
      <w:r>
        <w:t>Regressprivileg bei einer innerfamiliären Schadenszufügung</w:t>
      </w:r>
      <w:bookmarkEnd w:id="9"/>
    </w:p>
    <w:p w14:paraId="138C4B69" w14:textId="799FB7BA" w:rsidR="001906EB" w:rsidRDefault="00CC3B64" w:rsidP="001906EB">
      <w:pPr>
        <w:pStyle w:val="Grundtext"/>
        <w:rPr>
          <w:lang w:val="de-DE"/>
        </w:rPr>
      </w:pPr>
      <w:r w:rsidRPr="00CC3B64">
        <w:rPr>
          <w:lang w:val="de-DE"/>
        </w:rPr>
        <w:t>Ein Rückgriffsrecht gegen den Ehegatten der versicherten Person, deren Ve</w:t>
      </w:r>
      <w:r w:rsidRPr="00CC3B64">
        <w:rPr>
          <w:lang w:val="de-DE"/>
        </w:rPr>
        <w:t>r</w:t>
      </w:r>
      <w:r w:rsidRPr="00CC3B64">
        <w:rPr>
          <w:lang w:val="de-DE"/>
        </w:rPr>
        <w:t>wandte in auf- und absteigender Linie</w:t>
      </w:r>
      <w:r w:rsidR="00A80749">
        <w:rPr>
          <w:lang w:val="de-DE"/>
        </w:rPr>
        <w:t>, insbesondere Kinder,</w:t>
      </w:r>
      <w:r w:rsidRPr="00CC3B64">
        <w:rPr>
          <w:lang w:val="de-DE"/>
        </w:rPr>
        <w:t xml:space="preserve"> oder mit ihr in g</w:t>
      </w:r>
      <w:r w:rsidRPr="00CC3B64">
        <w:rPr>
          <w:lang w:val="de-DE"/>
        </w:rPr>
        <w:t>e</w:t>
      </w:r>
      <w:r w:rsidRPr="00CC3B64">
        <w:rPr>
          <w:lang w:val="de-DE"/>
        </w:rPr>
        <w:t xml:space="preserve">meinsamem Haushalt lebende Personen steht dem </w:t>
      </w:r>
      <w:r w:rsidR="00A80749">
        <w:rPr>
          <w:lang w:val="de-DE"/>
        </w:rPr>
        <w:t>Sozialv</w:t>
      </w:r>
      <w:r w:rsidRPr="00CC3B64">
        <w:rPr>
          <w:lang w:val="de-DE"/>
        </w:rPr>
        <w:t xml:space="preserve">ersicherer nur zu, wenn </w:t>
      </w:r>
      <w:r w:rsidR="00A80749">
        <w:rPr>
          <w:lang w:val="de-DE"/>
        </w:rPr>
        <w:t>der haftpflichtige Angehörige</w:t>
      </w:r>
      <w:r w:rsidRPr="00CC3B64">
        <w:rPr>
          <w:lang w:val="de-DE"/>
        </w:rPr>
        <w:t xml:space="preserve"> den Versicherungsfall absichtlich oder gro</w:t>
      </w:r>
      <w:r w:rsidRPr="00CC3B64">
        <w:rPr>
          <w:lang w:val="de-DE"/>
        </w:rPr>
        <w:t>b</w:t>
      </w:r>
      <w:r w:rsidRPr="00CC3B64">
        <w:rPr>
          <w:lang w:val="de-DE"/>
        </w:rPr>
        <w:t>fahrlässig herbeigeführt ha</w:t>
      </w:r>
      <w:r w:rsidR="00A80749">
        <w:rPr>
          <w:lang w:val="de-DE"/>
        </w:rPr>
        <w:t>t</w:t>
      </w:r>
      <w:r>
        <w:rPr>
          <w:rStyle w:val="Funotenzeichen"/>
          <w:lang w:val="de-DE"/>
        </w:rPr>
        <w:footnoteReference w:id="17"/>
      </w:r>
      <w:r w:rsidR="00BF578A">
        <w:rPr>
          <w:lang w:val="de-DE"/>
        </w:rPr>
        <w:t>.</w:t>
      </w:r>
    </w:p>
    <w:p w14:paraId="0835B837" w14:textId="77777777" w:rsidR="001906EB" w:rsidRDefault="001906EB" w:rsidP="001906EB">
      <w:pPr>
        <w:pStyle w:val="berschrift2"/>
        <w:rPr>
          <w:lang w:val="de-DE"/>
        </w:rPr>
      </w:pPr>
      <w:bookmarkStart w:id="10" w:name="_Toc246328743"/>
      <w:r>
        <w:rPr>
          <w:lang w:val="de-DE"/>
        </w:rPr>
        <w:t>Leistungskürzung</w:t>
      </w:r>
      <w:bookmarkEnd w:id="10"/>
    </w:p>
    <w:p w14:paraId="475B6389" w14:textId="7C88051F" w:rsidR="00B92374" w:rsidRPr="00B92374" w:rsidRDefault="00111195" w:rsidP="00B92374">
      <w:pPr>
        <w:pStyle w:val="Grundtext"/>
      </w:pPr>
      <w:r>
        <w:rPr>
          <w:lang w:val="de-DE"/>
        </w:rPr>
        <w:t>Vom Regressrecht zu unterscheiden ist eine a</w:t>
      </w:r>
      <w:r w:rsidR="00A80749">
        <w:rPr>
          <w:lang w:val="de-DE"/>
        </w:rPr>
        <w:t>ll</w:t>
      </w:r>
      <w:r>
        <w:rPr>
          <w:lang w:val="de-DE"/>
        </w:rPr>
        <w:t>fällige Leistungskürzung, wenn das versicherte Kind sich selbst geschädigt hat. Eine Leistungskürzung ist grun</w:t>
      </w:r>
      <w:r>
        <w:rPr>
          <w:lang w:val="de-DE"/>
        </w:rPr>
        <w:t>d</w:t>
      </w:r>
      <w:r>
        <w:rPr>
          <w:lang w:val="de-DE"/>
        </w:rPr>
        <w:t>sätzlich nur in Bezug auf Geldleistungen und zudem nur dann zulässig, wenn die Selbstschädigung vorsätzlich erfolgt ist</w:t>
      </w:r>
      <w:r>
        <w:rPr>
          <w:rStyle w:val="Funotenzeichen"/>
          <w:lang w:val="de-DE"/>
        </w:rPr>
        <w:footnoteReference w:id="18"/>
      </w:r>
      <w:r w:rsidR="00BF578A">
        <w:rPr>
          <w:lang w:val="de-DE"/>
        </w:rPr>
        <w:t>.</w:t>
      </w:r>
    </w:p>
    <w:p w14:paraId="0FE8CAE2" w14:textId="77777777" w:rsidR="001906EB" w:rsidRPr="001906EB" w:rsidRDefault="001906EB" w:rsidP="001906EB">
      <w:pPr>
        <w:pStyle w:val="berschrift1"/>
        <w:rPr>
          <w:lang w:val="de-DE"/>
        </w:rPr>
      </w:pPr>
      <w:bookmarkStart w:id="11" w:name="_Toc246328744"/>
      <w:r w:rsidRPr="001906EB">
        <w:rPr>
          <w:lang w:val="de-DE"/>
        </w:rPr>
        <w:t>Kinder als Opfer</w:t>
      </w:r>
      <w:bookmarkEnd w:id="11"/>
    </w:p>
    <w:p w14:paraId="76DAF6A8" w14:textId="77777777" w:rsidR="001906EB" w:rsidRPr="001906EB" w:rsidRDefault="001906EB" w:rsidP="001906EB">
      <w:pPr>
        <w:pStyle w:val="berschrift2"/>
        <w:rPr>
          <w:lang w:val="de-DE"/>
        </w:rPr>
      </w:pPr>
      <w:bookmarkStart w:id="12" w:name="_Toc246328745"/>
      <w:r w:rsidRPr="001906EB">
        <w:rPr>
          <w:lang w:val="de-DE"/>
        </w:rPr>
        <w:t>Heilbehandlung</w:t>
      </w:r>
      <w:bookmarkEnd w:id="12"/>
      <w:r w:rsidRPr="001906EB">
        <w:rPr>
          <w:lang w:val="de-DE"/>
        </w:rPr>
        <w:t xml:space="preserve"> </w:t>
      </w:r>
    </w:p>
    <w:p w14:paraId="257ED64E" w14:textId="77777777" w:rsidR="001906EB" w:rsidRPr="001906EB" w:rsidRDefault="001906EB" w:rsidP="001906EB">
      <w:pPr>
        <w:pStyle w:val="berschrift3"/>
        <w:rPr>
          <w:lang w:val="de-DE"/>
        </w:rPr>
      </w:pPr>
      <w:bookmarkStart w:id="13" w:name="_Toc246328746"/>
      <w:r w:rsidRPr="001906EB">
        <w:rPr>
          <w:lang w:val="de-DE"/>
        </w:rPr>
        <w:t>Allgemeines</w:t>
      </w:r>
      <w:bookmarkEnd w:id="13"/>
    </w:p>
    <w:p w14:paraId="0DF0396B" w14:textId="77534BF9" w:rsidR="001906EB" w:rsidRPr="001906EB" w:rsidRDefault="00ED3899" w:rsidP="001906EB">
      <w:pPr>
        <w:pStyle w:val="Grundtext"/>
        <w:rPr>
          <w:lang w:val="de-DE"/>
        </w:rPr>
      </w:pPr>
      <w:r>
        <w:rPr>
          <w:lang w:val="de-DE"/>
        </w:rPr>
        <w:t>Wird ein Kind verletzt, werden die Heilbehandlungskosten vo</w:t>
      </w:r>
      <w:r w:rsidR="00A80749">
        <w:rPr>
          <w:lang w:val="de-DE"/>
        </w:rPr>
        <w:t>m</w:t>
      </w:r>
      <w:r>
        <w:rPr>
          <w:lang w:val="de-DE"/>
        </w:rPr>
        <w:t xml:space="preserve"> Krankenvers</w:t>
      </w:r>
      <w:r>
        <w:rPr>
          <w:lang w:val="de-DE"/>
        </w:rPr>
        <w:t>i</w:t>
      </w:r>
      <w:r>
        <w:rPr>
          <w:lang w:val="de-DE"/>
        </w:rPr>
        <w:t>cherer</w:t>
      </w:r>
      <w:r w:rsidR="00933A83">
        <w:rPr>
          <w:lang w:val="de-DE"/>
        </w:rPr>
        <w:t xml:space="preserve"> </w:t>
      </w:r>
      <w:r>
        <w:rPr>
          <w:lang w:val="de-DE"/>
        </w:rPr>
        <w:t xml:space="preserve">übernommen. Eine Ausnahme besteht dann, wenn das Kind an einem </w:t>
      </w:r>
      <w:r w:rsidR="00A80749">
        <w:rPr>
          <w:lang w:val="de-DE"/>
        </w:rPr>
        <w:t xml:space="preserve">anerkannten </w:t>
      </w:r>
      <w:r>
        <w:rPr>
          <w:lang w:val="de-DE"/>
        </w:rPr>
        <w:t>Geburtsgebrechen leidet. In diesem Fall trägt die Invalidenversich</w:t>
      </w:r>
      <w:r>
        <w:rPr>
          <w:lang w:val="de-DE"/>
        </w:rPr>
        <w:t>e</w:t>
      </w:r>
      <w:r>
        <w:rPr>
          <w:lang w:val="de-DE"/>
        </w:rPr>
        <w:t>rung die Kosten für die geburtsgebrechensbedingte Behandlung</w:t>
      </w:r>
      <w:r>
        <w:rPr>
          <w:rStyle w:val="Funotenzeichen"/>
          <w:lang w:val="de-DE"/>
        </w:rPr>
        <w:footnoteReference w:id="19"/>
      </w:r>
      <w:r w:rsidR="00BF578A">
        <w:rPr>
          <w:lang w:val="de-DE"/>
        </w:rPr>
        <w:t>.</w:t>
      </w:r>
      <w:r w:rsidR="0067303C">
        <w:rPr>
          <w:lang w:val="de-DE"/>
        </w:rPr>
        <w:t xml:space="preserve"> </w:t>
      </w:r>
      <w:r w:rsidR="008F065A">
        <w:rPr>
          <w:lang w:val="de-DE"/>
        </w:rPr>
        <w:t xml:space="preserve">Der Anspruch auf Übernahme der geburtsgebrechensbedingten Behandlungskosten besteht bis </w:t>
      </w:r>
      <w:r w:rsidR="00804553">
        <w:rPr>
          <w:lang w:val="de-DE"/>
        </w:rPr>
        <w:t xml:space="preserve">zur Vollendung </w:t>
      </w:r>
      <w:r w:rsidR="008F065A">
        <w:rPr>
          <w:lang w:val="de-DE"/>
        </w:rPr>
        <w:t>des 20. Altersjahr</w:t>
      </w:r>
      <w:r w:rsidR="000E3BEA">
        <w:rPr>
          <w:lang w:val="de-DE"/>
        </w:rPr>
        <w:t>e</w:t>
      </w:r>
      <w:r w:rsidR="008F065A">
        <w:rPr>
          <w:lang w:val="de-DE"/>
        </w:rPr>
        <w:t>s</w:t>
      </w:r>
      <w:r w:rsidR="008F065A">
        <w:rPr>
          <w:rStyle w:val="Funotenzeichen"/>
          <w:lang w:val="de-DE"/>
        </w:rPr>
        <w:footnoteReference w:id="20"/>
      </w:r>
      <w:r w:rsidR="00BF578A">
        <w:rPr>
          <w:lang w:val="de-DE"/>
        </w:rPr>
        <w:t>.</w:t>
      </w:r>
      <w:r w:rsidR="008F065A">
        <w:rPr>
          <w:lang w:val="de-DE"/>
        </w:rPr>
        <w:t xml:space="preserve"> </w:t>
      </w:r>
    </w:p>
    <w:p w14:paraId="0B29F4C0" w14:textId="77777777" w:rsidR="001906EB" w:rsidRPr="001906EB" w:rsidRDefault="001906EB" w:rsidP="001906EB">
      <w:pPr>
        <w:pStyle w:val="berschrift3"/>
        <w:rPr>
          <w:lang w:val="de-DE"/>
        </w:rPr>
      </w:pPr>
      <w:bookmarkStart w:id="14" w:name="_Toc246328747"/>
      <w:r w:rsidRPr="001906EB">
        <w:rPr>
          <w:lang w:val="de-DE"/>
        </w:rPr>
        <w:t>Pflegeentschädigung</w:t>
      </w:r>
      <w:bookmarkEnd w:id="14"/>
    </w:p>
    <w:p w14:paraId="68E39ABE" w14:textId="77777777" w:rsidR="001906EB" w:rsidRPr="001906EB" w:rsidRDefault="001906EB" w:rsidP="001906EB">
      <w:pPr>
        <w:pStyle w:val="berschrift4"/>
        <w:rPr>
          <w:lang w:val="de-DE"/>
        </w:rPr>
      </w:pPr>
      <w:bookmarkStart w:id="15" w:name="_Toc246328748"/>
      <w:r w:rsidRPr="001906EB">
        <w:rPr>
          <w:lang w:val="de-DE"/>
        </w:rPr>
        <w:t>Allgemeines</w:t>
      </w:r>
      <w:bookmarkEnd w:id="15"/>
    </w:p>
    <w:p w14:paraId="7EB45618" w14:textId="1452C382" w:rsidR="001906EB" w:rsidRPr="001906EB" w:rsidRDefault="00D01571" w:rsidP="001906EB">
      <w:pPr>
        <w:pStyle w:val="Grundtext"/>
        <w:rPr>
          <w:lang w:val="de-DE"/>
        </w:rPr>
      </w:pPr>
      <w:r>
        <w:rPr>
          <w:lang w:val="de-DE"/>
        </w:rPr>
        <w:t>Mit Inkrafttreten der neuen Pflegefinanzierung am 1. Januar 2011</w:t>
      </w:r>
      <w:r w:rsidR="00B757BA">
        <w:rPr>
          <w:lang w:val="de-DE"/>
        </w:rPr>
        <w:t xml:space="preserve"> wurde die Übernahme der Pflegekosten durch den Krankenversicherer neu geregelt. Art. 25a KVG sieht nunmehr eine Ausnahme von der vollumfänglichen Leistung</w:t>
      </w:r>
      <w:r w:rsidR="00B757BA">
        <w:rPr>
          <w:lang w:val="de-DE"/>
        </w:rPr>
        <w:t>s</w:t>
      </w:r>
      <w:r w:rsidR="00B757BA">
        <w:rPr>
          <w:lang w:val="de-DE"/>
        </w:rPr>
        <w:t>pflicht für versicherte Heilbehandlungsleistungen vor. Der Krankenversicherer hat inskünftig nur noch einen vom Bundesrat festzulegenden Beitrag an die Pfl</w:t>
      </w:r>
      <w:r w:rsidR="00B757BA">
        <w:rPr>
          <w:lang w:val="de-DE"/>
        </w:rPr>
        <w:t>e</w:t>
      </w:r>
      <w:r w:rsidR="00B757BA">
        <w:rPr>
          <w:lang w:val="de-DE"/>
        </w:rPr>
        <w:t>gekosten zu leisten. Der pflegebedürftige Versicherte hat seinerseits einen m</w:t>
      </w:r>
      <w:r w:rsidR="00B757BA">
        <w:rPr>
          <w:lang w:val="de-DE"/>
        </w:rPr>
        <w:t>a</w:t>
      </w:r>
      <w:r w:rsidR="00B757BA">
        <w:rPr>
          <w:lang w:val="de-DE"/>
        </w:rPr>
        <w:t>ximalen Pflegekostenselbstbehalt von 20 % der vom Bundesrat festgesetzten Höchstbeträge zu übernehmen. Die übrigen Pflegekosten werden vo</w:t>
      </w:r>
      <w:r w:rsidR="00A64BCF">
        <w:rPr>
          <w:lang w:val="de-DE"/>
        </w:rPr>
        <w:t>m</w:t>
      </w:r>
      <w:r w:rsidR="00B757BA">
        <w:rPr>
          <w:lang w:val="de-DE"/>
        </w:rPr>
        <w:t xml:space="preserve"> Woh</w:t>
      </w:r>
      <w:r w:rsidR="00B757BA">
        <w:rPr>
          <w:lang w:val="de-DE"/>
        </w:rPr>
        <w:t>n</w:t>
      </w:r>
      <w:r w:rsidR="00B757BA">
        <w:rPr>
          <w:lang w:val="de-DE"/>
        </w:rPr>
        <w:t>sitzkanton getragen.</w:t>
      </w:r>
    </w:p>
    <w:p w14:paraId="6757C636" w14:textId="77777777" w:rsidR="001906EB" w:rsidRPr="001906EB" w:rsidRDefault="001906EB" w:rsidP="001906EB">
      <w:pPr>
        <w:pStyle w:val="berschrift4"/>
        <w:rPr>
          <w:lang w:val="de-DE"/>
        </w:rPr>
      </w:pPr>
      <w:bookmarkStart w:id="16" w:name="_Toc246328749"/>
      <w:r w:rsidRPr="001906EB">
        <w:rPr>
          <w:lang w:val="de-DE"/>
        </w:rPr>
        <w:t>Kinderspitex</w:t>
      </w:r>
      <w:bookmarkEnd w:id="16"/>
    </w:p>
    <w:p w14:paraId="16BB242E" w14:textId="14441008" w:rsidR="00A64BCF" w:rsidRPr="001906EB" w:rsidRDefault="00760846" w:rsidP="00D01571">
      <w:pPr>
        <w:pStyle w:val="Grundtext"/>
        <w:rPr>
          <w:lang w:val="de-DE"/>
        </w:rPr>
      </w:pPr>
      <w:r>
        <w:rPr>
          <w:lang w:val="de-DE"/>
        </w:rPr>
        <w:t>Sofern die Voraussetzungen von Art. 13 IVG erfüllt sind, hat die Invalidenvers</w:t>
      </w:r>
      <w:r>
        <w:rPr>
          <w:lang w:val="de-DE"/>
        </w:rPr>
        <w:t>i</w:t>
      </w:r>
      <w:r>
        <w:rPr>
          <w:lang w:val="de-DE"/>
        </w:rPr>
        <w:t>cherung die Kinderspitex</w:t>
      </w:r>
      <w:r w:rsidR="002E115A">
        <w:rPr>
          <w:lang w:val="de-DE"/>
        </w:rPr>
        <w:t>k</w:t>
      </w:r>
      <w:r>
        <w:rPr>
          <w:lang w:val="de-DE"/>
        </w:rPr>
        <w:t>osten, die im Zusammenhang</w:t>
      </w:r>
      <w:r w:rsidR="002E115A">
        <w:rPr>
          <w:lang w:val="de-DE"/>
        </w:rPr>
        <w:t xml:space="preserve"> mit der Pflege von</w:t>
      </w:r>
      <w:r>
        <w:rPr>
          <w:lang w:val="de-DE"/>
        </w:rPr>
        <w:t xml:space="preserve"> Ki</w:t>
      </w:r>
      <w:r>
        <w:rPr>
          <w:lang w:val="de-DE"/>
        </w:rPr>
        <w:t>n</w:t>
      </w:r>
      <w:r>
        <w:rPr>
          <w:lang w:val="de-DE"/>
        </w:rPr>
        <w:t>der</w:t>
      </w:r>
      <w:r w:rsidR="00804553">
        <w:rPr>
          <w:lang w:val="de-DE"/>
        </w:rPr>
        <w:t>n mit Geburtsgebrechen</w:t>
      </w:r>
      <w:r>
        <w:rPr>
          <w:lang w:val="de-DE"/>
        </w:rPr>
        <w:t xml:space="preserve"> anfallen, </w:t>
      </w:r>
      <w:r w:rsidR="002E115A">
        <w:rPr>
          <w:lang w:val="de-DE"/>
        </w:rPr>
        <w:t>zu übernehmen</w:t>
      </w:r>
      <w:r w:rsidR="00A1788A">
        <w:rPr>
          <w:rStyle w:val="Funotenzeichen"/>
          <w:lang w:val="de-DE"/>
        </w:rPr>
        <w:footnoteReference w:id="21"/>
      </w:r>
      <w:r w:rsidR="00BF578A">
        <w:rPr>
          <w:lang w:val="de-DE"/>
        </w:rPr>
        <w:t>.</w:t>
      </w:r>
      <w:r w:rsidR="006C76C4">
        <w:rPr>
          <w:lang w:val="de-DE"/>
        </w:rPr>
        <w:t xml:space="preserve"> In </w:t>
      </w:r>
      <w:r w:rsidR="00A64BCF" w:rsidRPr="00A64BCF">
        <w:t>Hauspflege vorg</w:t>
      </w:r>
      <w:r w:rsidR="00A64BCF" w:rsidRPr="00A64BCF">
        <w:t>e</w:t>
      </w:r>
      <w:r w:rsidR="00A64BCF" w:rsidRPr="00A64BCF">
        <w:t>nommene Vorkehren, deren Durchführung keine medizinische Berufsqualifikation erfordert, stellen keine medizinischen Massnahmen im Sinne von Art. 13 Abs. 1 in Verbindung mit Art. 14 Abs. 1 lit. a IVG und Art. 2 Abs. 3 GgV dar, sondern begründen gegebenenfalls einen Anspruch auf eine Hilfl</w:t>
      </w:r>
      <w:r w:rsidR="00A64BCF" w:rsidRPr="00A64BCF">
        <w:t>o</w:t>
      </w:r>
      <w:r w:rsidR="00A64BCF" w:rsidRPr="00A64BCF">
        <w:t>senentschädigung und au</w:t>
      </w:r>
      <w:r w:rsidR="00A64BCF">
        <w:t>f einen Intensivpflegezuschlag</w:t>
      </w:r>
      <w:r w:rsidR="00A64BCF">
        <w:rPr>
          <w:rStyle w:val="Funotenzeichen"/>
        </w:rPr>
        <w:footnoteReference w:id="22"/>
      </w:r>
      <w:r w:rsidR="00BF578A">
        <w:t>.</w:t>
      </w:r>
      <w:r w:rsidR="00A64BCF">
        <w:t xml:space="preserve"> </w:t>
      </w:r>
      <w:r w:rsidR="00A64BCF" w:rsidRPr="00D01571">
        <w:rPr>
          <w:lang w:val="de-DE"/>
        </w:rPr>
        <w:t>Die Entlastung der Eltern eines Kindes, das an einem Hirntumor leidet, ist nach der Meinung des Bundesgerichts keine medizinische Massnahme, weil die Kinderspitex</w:t>
      </w:r>
      <w:r w:rsidR="00A64BCF">
        <w:rPr>
          <w:lang w:val="de-DE"/>
        </w:rPr>
        <w:t>, soweit sie Entlastungsdienste leistet,</w:t>
      </w:r>
      <w:r w:rsidR="00A64BCF" w:rsidRPr="00D01571">
        <w:rPr>
          <w:lang w:val="de-DE"/>
        </w:rPr>
        <w:t xml:space="preserve"> letztlich nichts anderes als die Eltern macht</w:t>
      </w:r>
      <w:r w:rsidR="00A64BCF">
        <w:rPr>
          <w:rStyle w:val="Funotenzeichen"/>
          <w:lang w:val="de-DE"/>
        </w:rPr>
        <w:footnoteReference w:id="23"/>
      </w:r>
      <w:r w:rsidR="00BF578A">
        <w:rPr>
          <w:lang w:val="de-DE"/>
        </w:rPr>
        <w:t>.</w:t>
      </w:r>
      <w:r w:rsidR="00A64BCF">
        <w:rPr>
          <w:lang w:val="de-DE"/>
        </w:rPr>
        <w:t xml:space="preserve"> Der Krankenversicherer hat subsidiär für allfällige von der Invalidenversicherung nicht gedeckten geburtsgebrechensbedingten Pflegekosten aufzukommen</w:t>
      </w:r>
      <w:r w:rsidR="00A64BCF">
        <w:rPr>
          <w:rStyle w:val="Funotenzeichen"/>
          <w:lang w:val="de-DE"/>
        </w:rPr>
        <w:footnoteReference w:id="24"/>
      </w:r>
      <w:r w:rsidR="00BF578A">
        <w:rPr>
          <w:lang w:val="de-DE"/>
        </w:rPr>
        <w:t>.</w:t>
      </w:r>
      <w:r w:rsidR="00A64BCF">
        <w:rPr>
          <w:lang w:val="de-DE"/>
        </w:rPr>
        <w:t xml:space="preserve"> </w:t>
      </w:r>
    </w:p>
    <w:p w14:paraId="03E81E16" w14:textId="77777777" w:rsidR="001906EB" w:rsidRPr="001906EB" w:rsidRDefault="001906EB" w:rsidP="001906EB">
      <w:pPr>
        <w:pStyle w:val="berschrift4"/>
        <w:rPr>
          <w:lang w:val="de-DE"/>
        </w:rPr>
      </w:pPr>
      <w:bookmarkStart w:id="19" w:name="_Toc246328750"/>
      <w:r w:rsidRPr="001906EB">
        <w:rPr>
          <w:lang w:val="de-DE"/>
        </w:rPr>
        <w:t>Angehörigenpflege</w:t>
      </w:r>
      <w:bookmarkEnd w:id="19"/>
    </w:p>
    <w:p w14:paraId="7043373F" w14:textId="1227B410" w:rsidR="00C47D9E" w:rsidRDefault="000F0793" w:rsidP="000F0793">
      <w:pPr>
        <w:pStyle w:val="Grundtext"/>
        <w:rPr>
          <w:lang w:val="de-DE" w:bidi="de-DE"/>
        </w:rPr>
      </w:pPr>
      <w:r>
        <w:rPr>
          <w:lang w:val="de-DE"/>
        </w:rPr>
        <w:t>Die Leistungspflicht für Be</w:t>
      </w:r>
      <w:r w:rsidR="00262A7C">
        <w:rPr>
          <w:lang w:val="de-DE"/>
        </w:rPr>
        <w:t>handlungs- und</w:t>
      </w:r>
      <w:r>
        <w:rPr>
          <w:lang w:val="de-DE"/>
        </w:rPr>
        <w:t xml:space="preserve"> Grundpflege</w:t>
      </w:r>
      <w:r w:rsidR="00C47D9E">
        <w:rPr>
          <w:lang w:val="de-DE"/>
        </w:rPr>
        <w:t>- sowie Betreuungs</w:t>
      </w:r>
      <w:r>
        <w:rPr>
          <w:lang w:val="de-DE"/>
        </w:rPr>
        <w:t>lei</w:t>
      </w:r>
      <w:r>
        <w:rPr>
          <w:lang w:val="de-DE"/>
        </w:rPr>
        <w:t>s</w:t>
      </w:r>
      <w:r>
        <w:rPr>
          <w:lang w:val="de-DE"/>
        </w:rPr>
        <w:t xml:space="preserve">tungen, die von Angehörigen </w:t>
      </w:r>
      <w:r w:rsidR="002609FB">
        <w:rPr>
          <w:lang w:val="de-DE"/>
        </w:rPr>
        <w:t>erbracht</w:t>
      </w:r>
      <w:r>
        <w:rPr>
          <w:lang w:val="de-DE"/>
        </w:rPr>
        <w:t xml:space="preserve"> werden, ist in den verschiedenen Sozia</w:t>
      </w:r>
      <w:r>
        <w:rPr>
          <w:lang w:val="de-DE"/>
        </w:rPr>
        <w:t>l</w:t>
      </w:r>
      <w:r>
        <w:rPr>
          <w:lang w:val="de-DE"/>
        </w:rPr>
        <w:t>versicherungs</w:t>
      </w:r>
      <w:r w:rsidR="002609FB">
        <w:rPr>
          <w:lang w:val="de-DE"/>
        </w:rPr>
        <w:t>s</w:t>
      </w:r>
      <w:r>
        <w:rPr>
          <w:lang w:val="de-DE"/>
        </w:rPr>
        <w:t xml:space="preserve">ystemen uneinheitlich </w:t>
      </w:r>
      <w:r w:rsidR="002609FB">
        <w:rPr>
          <w:lang w:val="de-DE"/>
        </w:rPr>
        <w:t>geregelt</w:t>
      </w:r>
      <w:r w:rsidR="00132112">
        <w:rPr>
          <w:rStyle w:val="Funotenzeichen"/>
          <w:lang w:val="de-DE"/>
        </w:rPr>
        <w:footnoteReference w:id="25"/>
      </w:r>
      <w:r w:rsidR="00BF578A">
        <w:rPr>
          <w:lang w:val="de-DE"/>
        </w:rPr>
        <w:t>.</w:t>
      </w:r>
      <w:r w:rsidR="00C47D9E">
        <w:rPr>
          <w:lang w:val="de-DE"/>
        </w:rPr>
        <w:t xml:space="preserve"> Gemäss KVG sind Grund- und Behandlungspflegeleistungen versichert, wobei in Bezug auf die Behandlung</w:t>
      </w:r>
      <w:r w:rsidR="00C47D9E">
        <w:rPr>
          <w:lang w:val="de-DE"/>
        </w:rPr>
        <w:t>s</w:t>
      </w:r>
      <w:r w:rsidR="00C47D9E">
        <w:rPr>
          <w:lang w:val="de-DE"/>
        </w:rPr>
        <w:t xml:space="preserve">pflege eine Positivliste </w:t>
      </w:r>
      <w:r w:rsidR="00132112">
        <w:rPr>
          <w:lang w:val="de-DE"/>
        </w:rPr>
        <w:t>be</w:t>
      </w:r>
      <w:r w:rsidR="00C47D9E">
        <w:rPr>
          <w:lang w:val="de-DE"/>
        </w:rPr>
        <w:t>steh</w:t>
      </w:r>
      <w:r w:rsidR="00132112">
        <w:rPr>
          <w:lang w:val="de-DE"/>
        </w:rPr>
        <w:t>t</w:t>
      </w:r>
      <w:r w:rsidR="00C47D9E">
        <w:rPr>
          <w:rStyle w:val="Funotenzeichen"/>
          <w:lang w:val="de-DE"/>
        </w:rPr>
        <w:footnoteReference w:id="26"/>
      </w:r>
      <w:r w:rsidR="00BF578A">
        <w:rPr>
          <w:lang w:val="de-DE"/>
        </w:rPr>
        <w:t>.</w:t>
      </w:r>
      <w:r w:rsidR="00C47D9E">
        <w:rPr>
          <w:lang w:val="de-DE"/>
        </w:rPr>
        <w:t xml:space="preserve"> </w:t>
      </w:r>
      <w:r w:rsidR="00C47D9E">
        <w:rPr>
          <w:lang w:val="de-DE" w:bidi="de-DE"/>
        </w:rPr>
        <w:t>Die krank</w:t>
      </w:r>
      <w:r w:rsidR="006C76C4">
        <w:rPr>
          <w:lang w:val="de-DE" w:bidi="de-DE"/>
        </w:rPr>
        <w:t>en</w:t>
      </w:r>
      <w:r w:rsidR="00C47D9E">
        <w:rPr>
          <w:lang w:val="de-DE" w:bidi="de-DE"/>
        </w:rPr>
        <w:t>versicherungsrechtliche Leistung</w:t>
      </w:r>
      <w:r w:rsidR="00C47D9E">
        <w:rPr>
          <w:lang w:val="de-DE" w:bidi="de-DE"/>
        </w:rPr>
        <w:t>s</w:t>
      </w:r>
      <w:r w:rsidR="00C47D9E">
        <w:rPr>
          <w:lang w:val="de-DE" w:bidi="de-DE"/>
        </w:rPr>
        <w:t>pflicht wird ergänzt durch die Hilflosenentschädigung und den Intensivpflegez</w:t>
      </w:r>
      <w:r w:rsidR="00C47D9E">
        <w:rPr>
          <w:lang w:val="de-DE" w:bidi="de-DE"/>
        </w:rPr>
        <w:t>u</w:t>
      </w:r>
      <w:r w:rsidR="00C47D9E">
        <w:rPr>
          <w:lang w:val="de-DE" w:bidi="de-DE"/>
        </w:rPr>
        <w:t>schlag sowie den Assistenzbeitrag</w:t>
      </w:r>
      <w:r w:rsidR="00933A83">
        <w:rPr>
          <w:lang w:val="de-DE" w:bidi="de-DE"/>
        </w:rPr>
        <w:t xml:space="preserve"> </w:t>
      </w:r>
      <w:r w:rsidR="00C47D9E">
        <w:rPr>
          <w:lang w:val="de-DE" w:bidi="de-DE"/>
        </w:rPr>
        <w:t>der Invalidenversicherung</w:t>
      </w:r>
      <w:r w:rsidR="00132112">
        <w:rPr>
          <w:rStyle w:val="Funotenzeichen"/>
          <w:lang w:val="de-DE" w:bidi="de-DE"/>
        </w:rPr>
        <w:footnoteReference w:id="27"/>
      </w:r>
      <w:r w:rsidR="00BF578A">
        <w:rPr>
          <w:lang w:val="de-DE" w:bidi="de-DE"/>
        </w:rPr>
        <w:t>.</w:t>
      </w:r>
      <w:r w:rsidR="00C47D9E">
        <w:rPr>
          <w:lang w:val="de-DE" w:bidi="de-DE"/>
        </w:rPr>
        <w:t xml:space="preserve"> </w:t>
      </w:r>
    </w:p>
    <w:p w14:paraId="1F450503" w14:textId="6D4C56C0" w:rsidR="000F0793" w:rsidRPr="000F0793" w:rsidRDefault="000F0793" w:rsidP="000F0793">
      <w:pPr>
        <w:pStyle w:val="Grundtext"/>
        <w:rPr>
          <w:lang w:val="de-DE" w:bidi="de-DE"/>
        </w:rPr>
      </w:pPr>
      <w:r w:rsidRPr="000F0793">
        <w:rPr>
          <w:lang w:val="de-DE" w:bidi="de-DE"/>
        </w:rPr>
        <w:t xml:space="preserve">In der </w:t>
      </w:r>
      <w:r w:rsidR="002609FB">
        <w:rPr>
          <w:lang w:val="de-DE" w:bidi="de-DE"/>
        </w:rPr>
        <w:t>Krankenversicherung</w:t>
      </w:r>
      <w:r w:rsidRPr="000F0793">
        <w:rPr>
          <w:lang w:val="de-DE" w:bidi="de-DE"/>
        </w:rPr>
        <w:t xml:space="preserve"> sind Angehörige, die selbst nicht die Zulassungsv</w:t>
      </w:r>
      <w:r w:rsidRPr="000F0793">
        <w:rPr>
          <w:lang w:val="de-DE" w:bidi="de-DE"/>
        </w:rPr>
        <w:t>o</w:t>
      </w:r>
      <w:r w:rsidRPr="000F0793">
        <w:rPr>
          <w:lang w:val="de-DE" w:bidi="de-DE"/>
        </w:rPr>
        <w:t>raussetzungen des KVG erfüllen, keine anerkannten Leistungserbringer</w:t>
      </w:r>
      <w:r w:rsidRPr="000F0793">
        <w:rPr>
          <w:vertAlign w:val="superscript"/>
          <w:lang w:val="de-DE" w:bidi="de-DE"/>
        </w:rPr>
        <w:footnoteReference w:id="28"/>
      </w:r>
      <w:r w:rsidR="00BF578A">
        <w:rPr>
          <w:lang w:val="de-DE" w:bidi="de-DE"/>
        </w:rPr>
        <w:t>.</w:t>
      </w:r>
      <w:r w:rsidRPr="000F0793">
        <w:rPr>
          <w:lang w:val="de-DE" w:bidi="de-DE"/>
        </w:rPr>
        <w:t xml:space="preserve"> Es besteht deshalb für die Angehörigenpflege selbst gestützt auf die Austauschb</w:t>
      </w:r>
      <w:r w:rsidRPr="000F0793">
        <w:rPr>
          <w:lang w:val="de-DE" w:bidi="de-DE"/>
        </w:rPr>
        <w:t>e</w:t>
      </w:r>
      <w:r w:rsidRPr="000F0793">
        <w:rPr>
          <w:lang w:val="de-DE" w:bidi="de-DE"/>
        </w:rPr>
        <w:t>fugnis keine Leistungspflicht</w:t>
      </w:r>
      <w:r w:rsidRPr="000F0793">
        <w:rPr>
          <w:vertAlign w:val="superscript"/>
          <w:lang w:val="de-DE" w:bidi="de-DE"/>
        </w:rPr>
        <w:footnoteReference w:id="29"/>
      </w:r>
      <w:r w:rsidR="00BF578A">
        <w:rPr>
          <w:lang w:val="de-DE" w:bidi="de-DE"/>
        </w:rPr>
        <w:t>.</w:t>
      </w:r>
      <w:r w:rsidRPr="000F0793">
        <w:rPr>
          <w:lang w:val="de-DE" w:bidi="de-DE"/>
        </w:rPr>
        <w:t xml:space="preserve"> </w:t>
      </w:r>
      <w:r w:rsidRPr="000F0793">
        <w:rPr>
          <w:lang w:val="de-DE"/>
        </w:rPr>
        <w:t>Nach der bundesgerichtlichen Rechtsprechung besteht eine Leistungspflicht nach KVG nur dann, wenn Angehörige, die ane</w:t>
      </w:r>
      <w:r w:rsidRPr="000F0793">
        <w:rPr>
          <w:lang w:val="de-DE"/>
        </w:rPr>
        <w:t>r</w:t>
      </w:r>
      <w:r w:rsidRPr="000F0793">
        <w:rPr>
          <w:lang w:val="de-DE"/>
        </w:rPr>
        <w:t>kannte Leistungserbringer und selbstständig erwerbend sind, die versicherten Leistungen erbringen</w:t>
      </w:r>
      <w:r w:rsidRPr="000F0793">
        <w:rPr>
          <w:vertAlign w:val="superscript"/>
          <w:lang w:val="de-DE"/>
        </w:rPr>
        <w:footnoteReference w:id="30"/>
      </w:r>
      <w:r w:rsidR="00BF578A">
        <w:rPr>
          <w:lang w:val="de-DE"/>
        </w:rPr>
        <w:t>.</w:t>
      </w:r>
      <w:r w:rsidRPr="000F0793">
        <w:rPr>
          <w:lang w:val="de-DE"/>
        </w:rPr>
        <w:t xml:space="preserve"> Nach einem 2007 ergangenen Urteil des Bundesgerichts genügt es aber nicht, dass der pflegende Angehörige die materiellen Zulassung</w:t>
      </w:r>
      <w:r w:rsidRPr="000F0793">
        <w:rPr>
          <w:lang w:val="de-DE"/>
        </w:rPr>
        <w:t>s</w:t>
      </w:r>
      <w:r w:rsidRPr="000F0793">
        <w:rPr>
          <w:lang w:val="de-DE"/>
        </w:rPr>
        <w:t>voraussetzungen erfüllt, dieser muss über eine Abrechnungsnummer verfügen</w:t>
      </w:r>
      <w:r w:rsidRPr="000F0793">
        <w:rPr>
          <w:vertAlign w:val="superscript"/>
          <w:lang w:val="de-DE"/>
        </w:rPr>
        <w:footnoteReference w:id="31"/>
      </w:r>
      <w:r w:rsidR="00BF578A">
        <w:rPr>
          <w:lang w:val="de-DE"/>
        </w:rPr>
        <w:t>.</w:t>
      </w:r>
      <w:r w:rsidRPr="000F0793">
        <w:rPr>
          <w:lang w:val="de-DE"/>
        </w:rPr>
        <w:t xml:space="preserve"> </w:t>
      </w:r>
    </w:p>
    <w:p w14:paraId="18789006" w14:textId="6E0ECDFA" w:rsidR="00C47D9E" w:rsidRDefault="000F0793" w:rsidP="000F0793">
      <w:pPr>
        <w:pStyle w:val="Grundtext"/>
        <w:rPr>
          <w:lang w:val="de-DE"/>
        </w:rPr>
      </w:pPr>
      <w:r w:rsidRPr="000F0793">
        <w:rPr>
          <w:lang w:val="de-DE"/>
        </w:rPr>
        <w:t>Keine Umgehung des Zulassungserfordernisses stellt die Anstellung von pfl</w:t>
      </w:r>
      <w:r w:rsidRPr="000F0793">
        <w:rPr>
          <w:lang w:val="de-DE"/>
        </w:rPr>
        <w:t>e</w:t>
      </w:r>
      <w:r w:rsidRPr="000F0793">
        <w:rPr>
          <w:lang w:val="de-DE"/>
        </w:rPr>
        <w:t>genden Angehörigen, die nicht im Besitz eines Pflegefachdiploms sind, durch eine zugelassene Spitex-Organisation dar. In einem solchen Fall liegt entschäd</w:t>
      </w:r>
      <w:r w:rsidRPr="000F0793">
        <w:rPr>
          <w:lang w:val="de-DE"/>
        </w:rPr>
        <w:t>i</w:t>
      </w:r>
      <w:r w:rsidRPr="000F0793">
        <w:rPr>
          <w:lang w:val="de-DE"/>
        </w:rPr>
        <w:t xml:space="preserve">gungspflichtige </w:t>
      </w:r>
      <w:r w:rsidRPr="000F0793">
        <w:rPr>
          <w:lang w:val="de-DE" w:bidi="de-DE"/>
        </w:rPr>
        <w:t>Spitex- und nicht Angehörigenpflege vor</w:t>
      </w:r>
      <w:r w:rsidRPr="000F0793">
        <w:rPr>
          <w:vertAlign w:val="superscript"/>
          <w:lang w:val="de-DE" w:bidi="de-DE"/>
        </w:rPr>
        <w:footnoteReference w:id="32"/>
      </w:r>
      <w:r w:rsidR="00BF578A">
        <w:rPr>
          <w:lang w:val="de-DE" w:bidi="de-DE"/>
        </w:rPr>
        <w:t>.</w:t>
      </w:r>
      <w:r w:rsidR="00132112">
        <w:rPr>
          <w:lang w:val="de-DE" w:bidi="de-DE"/>
        </w:rPr>
        <w:t xml:space="preserve"> Von der Spitex a</w:t>
      </w:r>
      <w:r w:rsidR="00132112">
        <w:rPr>
          <w:lang w:val="de-DE" w:bidi="de-DE"/>
        </w:rPr>
        <w:t>n</w:t>
      </w:r>
      <w:r w:rsidR="00132112">
        <w:rPr>
          <w:lang w:val="de-DE" w:bidi="de-DE"/>
        </w:rPr>
        <w:t>gestellte Angehörige dürfen allerdings nur Grundpflegeleistungen ausführen und sind zu überwachen</w:t>
      </w:r>
      <w:r w:rsidR="00132112">
        <w:rPr>
          <w:rStyle w:val="Funotenzeichen"/>
          <w:lang w:val="de-DE" w:bidi="de-DE"/>
        </w:rPr>
        <w:footnoteReference w:id="33"/>
      </w:r>
      <w:r w:rsidR="00BF578A">
        <w:rPr>
          <w:lang w:val="de-DE" w:bidi="de-DE"/>
        </w:rPr>
        <w:t>.</w:t>
      </w:r>
      <w:r w:rsidR="00132112">
        <w:rPr>
          <w:lang w:val="de-DE" w:bidi="de-DE"/>
        </w:rPr>
        <w:t xml:space="preserve"> </w:t>
      </w:r>
    </w:p>
    <w:p w14:paraId="238F62DA" w14:textId="77777777" w:rsidR="001906EB" w:rsidRPr="001906EB" w:rsidRDefault="001906EB" w:rsidP="001906EB">
      <w:pPr>
        <w:pStyle w:val="berschrift2"/>
        <w:rPr>
          <w:lang w:val="de-DE"/>
        </w:rPr>
      </w:pPr>
      <w:bookmarkStart w:id="22" w:name="_Toc246328751"/>
      <w:r w:rsidRPr="001906EB">
        <w:rPr>
          <w:lang w:val="de-DE"/>
        </w:rPr>
        <w:t>Eingliederung</w:t>
      </w:r>
      <w:bookmarkEnd w:id="22"/>
    </w:p>
    <w:p w14:paraId="4ED00110" w14:textId="77777777" w:rsidR="001906EB" w:rsidRDefault="00927410" w:rsidP="00927410">
      <w:pPr>
        <w:pStyle w:val="berschrift3"/>
        <w:rPr>
          <w:lang w:val="de-DE"/>
        </w:rPr>
      </w:pPr>
      <w:r>
        <w:rPr>
          <w:lang w:val="de-DE"/>
        </w:rPr>
        <w:t xml:space="preserve"> </w:t>
      </w:r>
      <w:bookmarkStart w:id="23" w:name="_Toc246328752"/>
      <w:r>
        <w:rPr>
          <w:lang w:val="de-DE"/>
        </w:rPr>
        <w:t>Schulische Eingliederung</w:t>
      </w:r>
      <w:bookmarkEnd w:id="23"/>
    </w:p>
    <w:p w14:paraId="0FF2E934" w14:textId="6421C7B3" w:rsidR="00143F77" w:rsidRDefault="000B53DB" w:rsidP="00927410">
      <w:pPr>
        <w:pStyle w:val="Grundtext"/>
        <w:rPr>
          <w:lang w:val="de-DE"/>
        </w:rPr>
      </w:pPr>
      <w:r>
        <w:rPr>
          <w:lang w:val="de-DE"/>
        </w:rPr>
        <w:t>Die Invalidenversicherung hat traditionsgemäss während Jahrzehnten die schul</w:t>
      </w:r>
      <w:r>
        <w:rPr>
          <w:lang w:val="de-DE"/>
        </w:rPr>
        <w:t>i</w:t>
      </w:r>
      <w:r>
        <w:rPr>
          <w:lang w:val="de-DE"/>
        </w:rPr>
        <w:t>sche Eingliederung der behinderten Kinder im Rahmen von Versicherungslei</w:t>
      </w:r>
      <w:r>
        <w:rPr>
          <w:lang w:val="de-DE"/>
        </w:rPr>
        <w:t>s</w:t>
      </w:r>
      <w:r>
        <w:rPr>
          <w:lang w:val="de-DE"/>
        </w:rPr>
        <w:t>tungen und Subventionen finanziert</w:t>
      </w:r>
      <w:r w:rsidR="00EA5A58">
        <w:rPr>
          <w:rStyle w:val="Funotenzeichen"/>
          <w:lang w:val="de-DE"/>
        </w:rPr>
        <w:footnoteReference w:id="34"/>
      </w:r>
      <w:r w:rsidR="00BF578A">
        <w:rPr>
          <w:lang w:val="de-DE"/>
        </w:rPr>
        <w:t>.</w:t>
      </w:r>
      <w:r>
        <w:rPr>
          <w:lang w:val="de-DE"/>
        </w:rPr>
        <w:t xml:space="preserve"> </w:t>
      </w:r>
      <w:r w:rsidR="00C30C1B">
        <w:rPr>
          <w:lang w:val="de-DE"/>
        </w:rPr>
        <w:t>Im Rahmen der Neuordnung des Finan</w:t>
      </w:r>
      <w:r w:rsidR="00C30C1B">
        <w:rPr>
          <w:lang w:val="de-DE"/>
        </w:rPr>
        <w:t>z</w:t>
      </w:r>
      <w:r w:rsidR="00C30C1B">
        <w:rPr>
          <w:lang w:val="de-DE"/>
        </w:rPr>
        <w:t xml:space="preserve">ausgleiches wurde die Sonderschulung bzw. die schulische Eingliederung in den ausschliesslichen Verantwortungsbereich der Kantone übertragen. </w:t>
      </w:r>
      <w:r w:rsidR="00927410" w:rsidRPr="00927410">
        <w:rPr>
          <w:lang w:val="de-DE"/>
        </w:rPr>
        <w:t>Die Kantone</w:t>
      </w:r>
      <w:r w:rsidR="00933A83">
        <w:rPr>
          <w:lang w:val="de-DE"/>
        </w:rPr>
        <w:t xml:space="preserve"> </w:t>
      </w:r>
      <w:r w:rsidR="00C30C1B">
        <w:rPr>
          <w:lang w:val="de-DE"/>
        </w:rPr>
        <w:t xml:space="preserve">haben nunmehr seit dem 1. Januar 2008 den verfassungsmässigen Auftrag, </w:t>
      </w:r>
      <w:r w:rsidR="00927410" w:rsidRPr="00927410">
        <w:rPr>
          <w:lang w:val="de-DE"/>
        </w:rPr>
        <w:t>für eine ausreichende Sonderschulung aller behinderten Kinder und Jugendlichen bis längstens zum vollendeten 20. Altersjahr</w:t>
      </w:r>
      <w:r w:rsidR="00933A83">
        <w:rPr>
          <w:lang w:val="de-DE"/>
        </w:rPr>
        <w:t xml:space="preserve"> </w:t>
      </w:r>
      <w:r w:rsidR="00C30C1B">
        <w:rPr>
          <w:lang w:val="de-DE"/>
        </w:rPr>
        <w:t>zu sorgen</w:t>
      </w:r>
      <w:r w:rsidR="00927410">
        <w:rPr>
          <w:rStyle w:val="Funotenzeichen"/>
          <w:lang w:val="de-DE"/>
        </w:rPr>
        <w:footnoteReference w:id="35"/>
      </w:r>
      <w:r w:rsidR="00BF578A">
        <w:rPr>
          <w:lang w:val="de-DE"/>
        </w:rPr>
        <w:t>.</w:t>
      </w:r>
      <w:r w:rsidR="00933A83">
        <w:rPr>
          <w:lang w:val="de-DE"/>
        </w:rPr>
        <w:t xml:space="preserve"> </w:t>
      </w:r>
    </w:p>
    <w:p w14:paraId="1CC5A1AD" w14:textId="1A20194C" w:rsidR="00927410" w:rsidRDefault="00143F77" w:rsidP="00143F77">
      <w:pPr>
        <w:pStyle w:val="Grundtext"/>
      </w:pPr>
      <w:r>
        <w:rPr>
          <w:lang w:val="de-DE"/>
        </w:rPr>
        <w:t>Dieser verfassungsmässige Auftrag korreliert mit de</w:t>
      </w:r>
      <w:r w:rsidR="00F40945">
        <w:rPr>
          <w:lang w:val="de-DE"/>
        </w:rPr>
        <w:t>m</w:t>
      </w:r>
      <w:r>
        <w:rPr>
          <w:lang w:val="de-DE"/>
        </w:rPr>
        <w:t xml:space="preserve"> aus de</w:t>
      </w:r>
      <w:r w:rsidR="00F40945">
        <w:rPr>
          <w:lang w:val="de-DE"/>
        </w:rPr>
        <w:t>m</w:t>
      </w:r>
      <w:r>
        <w:rPr>
          <w:lang w:val="de-DE"/>
        </w:rPr>
        <w:t xml:space="preserve"> Behindertendi</w:t>
      </w:r>
      <w:r>
        <w:rPr>
          <w:lang w:val="de-DE"/>
        </w:rPr>
        <w:t>s</w:t>
      </w:r>
      <w:r>
        <w:rPr>
          <w:lang w:val="de-DE"/>
        </w:rPr>
        <w:t>kriminierungsverbot</w:t>
      </w:r>
      <w:r w:rsidR="00F40945">
        <w:rPr>
          <w:rStyle w:val="Funotenzeichen"/>
          <w:lang w:val="de-DE"/>
        </w:rPr>
        <w:footnoteReference w:id="36"/>
      </w:r>
      <w:r>
        <w:rPr>
          <w:lang w:val="de-DE"/>
        </w:rPr>
        <w:t xml:space="preserve"> folgenden Grundrechtsanspruchs auf eine integrative Schulung</w:t>
      </w:r>
      <w:r w:rsidR="00F40945">
        <w:rPr>
          <w:rStyle w:val="Funotenzeichen"/>
          <w:lang w:val="de-DE"/>
        </w:rPr>
        <w:footnoteReference w:id="37"/>
      </w:r>
      <w:r w:rsidR="00BF578A">
        <w:rPr>
          <w:lang w:val="de-DE"/>
        </w:rPr>
        <w:t>.</w:t>
      </w:r>
      <w:r>
        <w:rPr>
          <w:lang w:val="de-DE"/>
        </w:rPr>
        <w:t xml:space="preserve"> </w:t>
      </w:r>
      <w:r w:rsidRPr="00143F77">
        <w:rPr>
          <w:lang w:val="de-DE"/>
        </w:rPr>
        <w:t>Im Bereich der Sonderschulung kommt den Kantonen ein erhebl</w:t>
      </w:r>
      <w:r w:rsidRPr="00143F77">
        <w:rPr>
          <w:lang w:val="de-DE"/>
        </w:rPr>
        <w:t>i</w:t>
      </w:r>
      <w:r w:rsidRPr="00143F77">
        <w:rPr>
          <w:lang w:val="de-DE"/>
        </w:rPr>
        <w:t>cher Gestaltungsspielraum zu. Die bundesrechtlichen Minimalanforderungen verlangen nur ein angemessenes, erfahrungsgemäss ausreichendes Bildungsa</w:t>
      </w:r>
      <w:r w:rsidRPr="00143F77">
        <w:rPr>
          <w:lang w:val="de-DE"/>
        </w:rPr>
        <w:t>n</w:t>
      </w:r>
      <w:r w:rsidRPr="00143F77">
        <w:rPr>
          <w:lang w:val="de-DE"/>
        </w:rPr>
        <w:t>gebot an öffentlichen Schulen, nicht aber die optimale bzw. geeignetste Sch</w:t>
      </w:r>
      <w:r w:rsidRPr="00143F77">
        <w:rPr>
          <w:lang w:val="de-DE"/>
        </w:rPr>
        <w:t>u</w:t>
      </w:r>
      <w:r w:rsidRPr="00143F77">
        <w:rPr>
          <w:lang w:val="de-DE"/>
        </w:rPr>
        <w:t>lung eines Kindes</w:t>
      </w:r>
      <w:r>
        <w:rPr>
          <w:rStyle w:val="Funotenzeichen"/>
          <w:lang w:val="de-DE"/>
        </w:rPr>
        <w:footnoteReference w:id="38"/>
      </w:r>
      <w:r w:rsidR="00BF578A">
        <w:rPr>
          <w:lang w:val="de-DE"/>
        </w:rPr>
        <w:t>.</w:t>
      </w:r>
      <w:r w:rsidR="00D31E36">
        <w:rPr>
          <w:lang w:val="de-DE"/>
        </w:rPr>
        <w:t xml:space="preserve"> </w:t>
      </w:r>
      <w:r w:rsidRPr="00143F77">
        <w:rPr>
          <w:lang w:val="de-DE"/>
        </w:rPr>
        <w:t>Es besteht ein grundsätzlicher Vorrang der integrierten g</w:t>
      </w:r>
      <w:r w:rsidRPr="00143F77">
        <w:rPr>
          <w:lang w:val="de-DE"/>
        </w:rPr>
        <w:t>e</w:t>
      </w:r>
      <w:r w:rsidRPr="00143F77">
        <w:rPr>
          <w:lang w:val="de-DE"/>
        </w:rPr>
        <w:t xml:space="preserve">genüber der separierten Sonderschulung. </w:t>
      </w:r>
      <w:r w:rsidR="00D31E36">
        <w:rPr>
          <w:lang w:val="de-DE"/>
        </w:rPr>
        <w:t>D</w:t>
      </w:r>
      <w:r w:rsidRPr="00143F77">
        <w:rPr>
          <w:lang w:val="de-DE"/>
        </w:rPr>
        <w:t xml:space="preserve">ie integrierte Sonderschulung in der Regelschule mittels der Behinderung angepassten Massnahmen (Logopädie usw.) </w:t>
      </w:r>
      <w:r w:rsidR="00D31E36">
        <w:rPr>
          <w:lang w:val="de-DE"/>
        </w:rPr>
        <w:t xml:space="preserve">und </w:t>
      </w:r>
      <w:r w:rsidRPr="00143F77">
        <w:rPr>
          <w:lang w:val="de-DE"/>
        </w:rPr>
        <w:t xml:space="preserve">eine separierte Sonderschulung in einer externen Institution </w:t>
      </w:r>
      <w:r w:rsidR="00D31E36">
        <w:rPr>
          <w:lang w:val="de-DE"/>
        </w:rPr>
        <w:t>müssen</w:t>
      </w:r>
      <w:r w:rsidR="00F40945">
        <w:rPr>
          <w:lang w:val="de-DE"/>
        </w:rPr>
        <w:t xml:space="preserve"> im konkreten Einzelfall</w:t>
      </w:r>
      <w:r w:rsidR="00D31E36">
        <w:rPr>
          <w:lang w:val="de-DE"/>
        </w:rPr>
        <w:t xml:space="preserve"> gleichwertig sein</w:t>
      </w:r>
      <w:r w:rsidR="00D31E36">
        <w:rPr>
          <w:rStyle w:val="Funotenzeichen"/>
          <w:lang w:val="de-DE"/>
        </w:rPr>
        <w:footnoteReference w:id="39"/>
      </w:r>
      <w:r w:rsidR="00BF578A">
        <w:rPr>
          <w:lang w:val="de-DE"/>
        </w:rPr>
        <w:t>.</w:t>
      </w:r>
    </w:p>
    <w:p w14:paraId="64D81BAC" w14:textId="2EDF0E96" w:rsidR="00927410" w:rsidRPr="00927410" w:rsidRDefault="00927410" w:rsidP="00927410">
      <w:pPr>
        <w:pStyle w:val="berschrift3"/>
      </w:pPr>
      <w:bookmarkStart w:id="24" w:name="_Toc246328753"/>
      <w:r>
        <w:t>Berufliche Eingliederung</w:t>
      </w:r>
      <w:bookmarkEnd w:id="24"/>
    </w:p>
    <w:p w14:paraId="3E3F6AC8" w14:textId="1D536323" w:rsidR="00A2046B" w:rsidRDefault="00A2046B" w:rsidP="00A2046B">
      <w:pPr>
        <w:pStyle w:val="berschrift4"/>
        <w:rPr>
          <w:lang w:val="de-DE"/>
        </w:rPr>
      </w:pPr>
      <w:bookmarkStart w:id="25" w:name="_Toc246328754"/>
      <w:r>
        <w:rPr>
          <w:lang w:val="de-DE"/>
        </w:rPr>
        <w:t>Allgemeines</w:t>
      </w:r>
      <w:bookmarkEnd w:id="25"/>
    </w:p>
    <w:p w14:paraId="7C35261D" w14:textId="5DCA1C45" w:rsidR="00207A3E" w:rsidRDefault="001B4B17" w:rsidP="004B4A08">
      <w:pPr>
        <w:pStyle w:val="Grundtext"/>
        <w:rPr>
          <w:lang w:val="de-DE"/>
        </w:rPr>
      </w:pPr>
      <w:r>
        <w:rPr>
          <w:lang w:val="de-DE"/>
        </w:rPr>
        <w:t>Die berufliche Eingliederungsmassnahmen der IV umfassen einerseits Integrat</w:t>
      </w:r>
      <w:r>
        <w:rPr>
          <w:lang w:val="de-DE"/>
        </w:rPr>
        <w:t>i</w:t>
      </w:r>
      <w:r>
        <w:rPr>
          <w:lang w:val="de-DE"/>
        </w:rPr>
        <w:t>onsmassnahmen zur Vorbereitung auf die berufliche Eingliederung und andere</w:t>
      </w:r>
      <w:r>
        <w:rPr>
          <w:lang w:val="de-DE"/>
        </w:rPr>
        <w:t>r</w:t>
      </w:r>
      <w:r>
        <w:rPr>
          <w:lang w:val="de-DE"/>
        </w:rPr>
        <w:t xml:space="preserve">seits </w:t>
      </w:r>
      <w:r w:rsidRPr="001B4B17">
        <w:rPr>
          <w:lang w:val="de-DE"/>
        </w:rPr>
        <w:t>Massnahmen beruflicher Art (Berufsberatung, erstmalige berufliche Au</w:t>
      </w:r>
      <w:r w:rsidRPr="001B4B17">
        <w:rPr>
          <w:lang w:val="de-DE"/>
        </w:rPr>
        <w:t>s</w:t>
      </w:r>
      <w:r w:rsidRPr="001B4B17">
        <w:rPr>
          <w:lang w:val="de-DE"/>
        </w:rPr>
        <w:t>bildung, Umschulung, Arbeitsvermittlung, Kapitalhilfe)</w:t>
      </w:r>
      <w:r>
        <w:rPr>
          <w:rStyle w:val="Funotenzeichen"/>
          <w:lang w:val="de-DE"/>
        </w:rPr>
        <w:footnoteReference w:id="40"/>
      </w:r>
      <w:r w:rsidR="00BF578A">
        <w:rPr>
          <w:lang w:val="de-DE"/>
        </w:rPr>
        <w:t>.</w:t>
      </w:r>
      <w:r w:rsidR="004B4A08">
        <w:rPr>
          <w:lang w:val="de-DE"/>
        </w:rPr>
        <w:t xml:space="preserve"> Bei Kindern und J</w:t>
      </w:r>
      <w:r w:rsidR="004B4A08">
        <w:rPr>
          <w:lang w:val="de-DE"/>
        </w:rPr>
        <w:t>u</w:t>
      </w:r>
      <w:r w:rsidR="004B4A08">
        <w:rPr>
          <w:lang w:val="de-DE"/>
        </w:rPr>
        <w:t>gendlichen steh</w:t>
      </w:r>
      <w:r w:rsidR="00207A3E">
        <w:rPr>
          <w:lang w:val="de-DE"/>
        </w:rPr>
        <w:t>en</w:t>
      </w:r>
      <w:r w:rsidR="004B4A08">
        <w:rPr>
          <w:lang w:val="de-DE"/>
        </w:rPr>
        <w:t xml:space="preserve"> die</w:t>
      </w:r>
      <w:r w:rsidR="00207A3E">
        <w:rPr>
          <w:lang w:val="de-DE"/>
        </w:rPr>
        <w:t xml:space="preserve"> Berufsberatung</w:t>
      </w:r>
      <w:r w:rsidR="00207A3E">
        <w:rPr>
          <w:rStyle w:val="Funotenzeichen"/>
          <w:lang w:val="de-DE"/>
        </w:rPr>
        <w:footnoteReference w:id="41"/>
      </w:r>
      <w:r w:rsidR="00207A3E">
        <w:rPr>
          <w:lang w:val="de-DE"/>
        </w:rPr>
        <w:t xml:space="preserve"> und die</w:t>
      </w:r>
      <w:r w:rsidR="004B4A08">
        <w:rPr>
          <w:lang w:val="de-DE"/>
        </w:rPr>
        <w:t xml:space="preserve"> erstmalige berufliche Ausbi</w:t>
      </w:r>
      <w:r w:rsidR="004B4A08">
        <w:rPr>
          <w:lang w:val="de-DE"/>
        </w:rPr>
        <w:t>l</w:t>
      </w:r>
      <w:r w:rsidR="004B4A08">
        <w:rPr>
          <w:lang w:val="de-DE"/>
        </w:rPr>
        <w:t>dung im Vordergrund</w:t>
      </w:r>
      <w:r w:rsidR="00D2483E">
        <w:rPr>
          <w:rStyle w:val="Funotenzeichen"/>
          <w:lang w:val="de-DE"/>
        </w:rPr>
        <w:footnoteReference w:id="42"/>
      </w:r>
      <w:r w:rsidR="00BF578A">
        <w:rPr>
          <w:lang w:val="de-DE"/>
        </w:rPr>
        <w:t>.</w:t>
      </w:r>
      <w:r w:rsidR="004B4A08">
        <w:rPr>
          <w:lang w:val="de-DE"/>
        </w:rPr>
        <w:t xml:space="preserve"> </w:t>
      </w:r>
    </w:p>
    <w:p w14:paraId="230EFB7A" w14:textId="340E79EA" w:rsidR="00A2046B" w:rsidRDefault="00A2046B" w:rsidP="00A2046B">
      <w:pPr>
        <w:pStyle w:val="berschrift4"/>
        <w:rPr>
          <w:lang w:val="de-DE"/>
        </w:rPr>
      </w:pPr>
      <w:bookmarkStart w:id="26" w:name="_Toc246328755"/>
      <w:r>
        <w:rPr>
          <w:lang w:val="de-DE"/>
        </w:rPr>
        <w:t>E</w:t>
      </w:r>
      <w:r w:rsidRPr="001B4B17">
        <w:rPr>
          <w:lang w:val="de-DE"/>
        </w:rPr>
        <w:t>rstmalige berufliche Ausbildung</w:t>
      </w:r>
      <w:bookmarkEnd w:id="26"/>
    </w:p>
    <w:p w14:paraId="52964033" w14:textId="21D8C4CD" w:rsidR="00207A3E" w:rsidRPr="00207A3E" w:rsidRDefault="00207A3E" w:rsidP="00207A3E">
      <w:pPr>
        <w:pStyle w:val="Grundtext"/>
        <w:rPr>
          <w:lang w:val="de-DE"/>
        </w:rPr>
      </w:pPr>
      <w:r w:rsidRPr="00207A3E">
        <w:rPr>
          <w:lang w:val="de-DE"/>
        </w:rPr>
        <w:t>Versicherte, die noch nicht erwerbstätig waren und denen infolge Invalidität bei der erstmaligen beruflichen Ausbildung in wesentlichem Umfange zusätzliche Kosten entstehen, haben Anspruch auf Ersatz dieser Kosten, sofern die Ausbi</w:t>
      </w:r>
      <w:r w:rsidRPr="00207A3E">
        <w:rPr>
          <w:lang w:val="de-DE"/>
        </w:rPr>
        <w:t>l</w:t>
      </w:r>
      <w:r w:rsidRPr="00207A3E">
        <w:rPr>
          <w:lang w:val="de-DE"/>
        </w:rPr>
        <w:t>dung den Fähigkeiten des Versicherten entspricht.</w:t>
      </w:r>
      <w:r>
        <w:rPr>
          <w:lang w:val="de-DE"/>
        </w:rPr>
        <w:t xml:space="preserve"> </w:t>
      </w:r>
      <w:r w:rsidRPr="004B4A08">
        <w:rPr>
          <w:lang w:val="de-DE"/>
        </w:rPr>
        <w:t>Als erstmalige berufliche Ausbildung gilt jede Berufslehre oder Anlehre sowie, nach Abschluss der Volks- oder Sonderschule</w:t>
      </w:r>
      <w:r>
        <w:rPr>
          <w:lang w:val="de-DE"/>
        </w:rPr>
        <w:t xml:space="preserve"> und</w:t>
      </w:r>
      <w:r w:rsidRPr="004B4A08">
        <w:rPr>
          <w:lang w:val="de-DE"/>
        </w:rPr>
        <w:t xml:space="preserve"> der Besuch einer Mittel-, Fach- oder Hochschule</w:t>
      </w:r>
      <w:r>
        <w:rPr>
          <w:rStyle w:val="Funotenzeichen"/>
          <w:lang w:val="de-DE"/>
        </w:rPr>
        <w:footnoteReference w:id="43"/>
      </w:r>
      <w:r w:rsidR="00BF578A">
        <w:rPr>
          <w:lang w:val="de-DE"/>
        </w:rPr>
        <w:t>.</w:t>
      </w:r>
    </w:p>
    <w:p w14:paraId="6929D105" w14:textId="45C467AC" w:rsidR="00207A3E" w:rsidRPr="00207A3E" w:rsidRDefault="00207A3E" w:rsidP="00207A3E">
      <w:pPr>
        <w:pStyle w:val="Grundtext"/>
        <w:rPr>
          <w:lang w:val="de-DE"/>
        </w:rPr>
      </w:pPr>
      <w:r w:rsidRPr="00207A3E">
        <w:rPr>
          <w:lang w:val="de-DE"/>
        </w:rPr>
        <w:t>Der erstmaligen beruflichen Ausbildung sind gleichgestellt</w:t>
      </w:r>
      <w:r>
        <w:rPr>
          <w:rStyle w:val="Funotenzeichen"/>
          <w:lang w:val="de-DE"/>
        </w:rPr>
        <w:footnoteReference w:id="44"/>
      </w:r>
      <w:r w:rsidR="00BF578A">
        <w:rPr>
          <w:lang w:val="de-DE"/>
        </w:rPr>
        <w:t>:</w:t>
      </w:r>
    </w:p>
    <w:p w14:paraId="59C56974" w14:textId="102AE530" w:rsidR="00207A3E" w:rsidRPr="00207A3E" w:rsidRDefault="00207A3E" w:rsidP="00207A3E">
      <w:pPr>
        <w:pStyle w:val="Grundtext"/>
        <w:numPr>
          <w:ilvl w:val="0"/>
          <w:numId w:val="12"/>
        </w:numPr>
        <w:rPr>
          <w:lang w:val="de-DE"/>
        </w:rPr>
      </w:pPr>
      <w:r w:rsidRPr="00207A3E">
        <w:rPr>
          <w:lang w:val="de-DE"/>
        </w:rPr>
        <w:t>die Vorbereitung auf eine Hilfsarbeit oder auf eine Tätigkeit in einer g</w:t>
      </w:r>
      <w:r w:rsidRPr="00207A3E">
        <w:rPr>
          <w:lang w:val="de-DE"/>
        </w:rPr>
        <w:t>e</w:t>
      </w:r>
      <w:r w:rsidR="000E3BEA">
        <w:rPr>
          <w:lang w:val="de-DE"/>
        </w:rPr>
        <w:t>schützten Werkstätte</w:t>
      </w:r>
      <w:r w:rsidR="00BD0CC2">
        <w:rPr>
          <w:lang w:val="de-DE"/>
        </w:rPr>
        <w:t>;</w:t>
      </w:r>
    </w:p>
    <w:p w14:paraId="04320653" w14:textId="58A71A08" w:rsidR="00207A3E" w:rsidRPr="00207A3E" w:rsidRDefault="00207A3E" w:rsidP="00207A3E">
      <w:pPr>
        <w:pStyle w:val="Grundtext"/>
        <w:numPr>
          <w:ilvl w:val="0"/>
          <w:numId w:val="12"/>
        </w:numPr>
        <w:rPr>
          <w:lang w:val="de-DE"/>
        </w:rPr>
      </w:pPr>
      <w:r w:rsidRPr="00207A3E">
        <w:rPr>
          <w:lang w:val="de-DE"/>
        </w:rPr>
        <w:t>die berufliche Neuausbildung invalider Versicherter, die nach dem Ei</w:t>
      </w:r>
      <w:r w:rsidRPr="00207A3E">
        <w:rPr>
          <w:lang w:val="de-DE"/>
        </w:rPr>
        <w:t>n</w:t>
      </w:r>
      <w:r w:rsidRPr="00207A3E">
        <w:rPr>
          <w:lang w:val="de-DE"/>
        </w:rPr>
        <w:t>tritt der Invalidität eine ungeeignete und auf die Dauer unzumutbare Erw</w:t>
      </w:r>
      <w:r w:rsidR="000E3BEA">
        <w:rPr>
          <w:lang w:val="de-DE"/>
        </w:rPr>
        <w:t>erbstätigkeit aufgenommen haben</w:t>
      </w:r>
      <w:r w:rsidR="00BD0CC2">
        <w:rPr>
          <w:lang w:val="de-DE"/>
        </w:rPr>
        <w:t>;</w:t>
      </w:r>
    </w:p>
    <w:p w14:paraId="1D2176EF" w14:textId="1D9E9C92" w:rsidR="00207A3E" w:rsidRDefault="00207A3E" w:rsidP="00207A3E">
      <w:pPr>
        <w:pStyle w:val="Grundtext"/>
        <w:numPr>
          <w:ilvl w:val="0"/>
          <w:numId w:val="12"/>
        </w:numPr>
        <w:rPr>
          <w:lang w:val="de-DE"/>
        </w:rPr>
      </w:pPr>
      <w:r w:rsidRPr="00207A3E">
        <w:rPr>
          <w:lang w:val="de-DE"/>
        </w:rPr>
        <w:t>die berufliche Weiterausbildung im bisherigen oder in einem anderen Berufsfeld, sofern sie geeignet und angemessen ist und dadurch die E</w:t>
      </w:r>
      <w:r w:rsidRPr="00207A3E">
        <w:rPr>
          <w:lang w:val="de-DE"/>
        </w:rPr>
        <w:t>r</w:t>
      </w:r>
      <w:r w:rsidRPr="00207A3E">
        <w:rPr>
          <w:lang w:val="de-DE"/>
        </w:rPr>
        <w:t>werbsfähigkeit voraussichtlich erhal</w:t>
      </w:r>
      <w:r w:rsidR="000E3BEA">
        <w:rPr>
          <w:lang w:val="de-DE"/>
        </w:rPr>
        <w:t>ten oder verbessert werden kann</w:t>
      </w:r>
      <w:r w:rsidR="00BD0CC2">
        <w:rPr>
          <w:lang w:val="de-DE"/>
        </w:rPr>
        <w:t>.</w:t>
      </w:r>
    </w:p>
    <w:p w14:paraId="2360DD42" w14:textId="23518822" w:rsidR="004B4A08" w:rsidRDefault="004B4A08" w:rsidP="004B4A08">
      <w:pPr>
        <w:pStyle w:val="Grundtext"/>
        <w:rPr>
          <w:lang w:val="de-DE"/>
        </w:rPr>
      </w:pPr>
      <w:r w:rsidRPr="004B4A08">
        <w:rPr>
          <w:lang w:val="de-DE"/>
        </w:rPr>
        <w:t>Einem Versicherten entstehen aus der erstmaligen beruflichen Ausbildung oder Weiterbildung in wesentlichem Umfang zusätzliche Kosten, wenn seine Au</w:t>
      </w:r>
      <w:r w:rsidRPr="004B4A08">
        <w:rPr>
          <w:lang w:val="de-DE"/>
        </w:rPr>
        <w:t>f</w:t>
      </w:r>
      <w:r w:rsidRPr="004B4A08">
        <w:rPr>
          <w:lang w:val="de-DE"/>
        </w:rPr>
        <w:t>wendungen für die Ausbildung wegen der Invalidität jährlich um 400 Franken höher sind, als sie ohne Invalidität gewesen wären</w:t>
      </w:r>
      <w:r>
        <w:rPr>
          <w:rStyle w:val="Funotenzeichen"/>
          <w:lang w:val="de-DE"/>
        </w:rPr>
        <w:footnoteReference w:id="45"/>
      </w:r>
      <w:r w:rsidR="00BF578A">
        <w:rPr>
          <w:lang w:val="de-DE"/>
        </w:rPr>
        <w:t>.</w:t>
      </w:r>
      <w:r w:rsidRPr="004B4A08">
        <w:rPr>
          <w:lang w:val="de-DE"/>
        </w:rPr>
        <w:t> Die zusätzlichen Kosten werden ermittelt, indem die Kosten der Ausbildung des Invaliden den mutmas</w:t>
      </w:r>
      <w:r w:rsidRPr="004B4A08">
        <w:rPr>
          <w:lang w:val="de-DE"/>
        </w:rPr>
        <w:t>s</w:t>
      </w:r>
      <w:r w:rsidRPr="004B4A08">
        <w:rPr>
          <w:lang w:val="de-DE"/>
        </w:rPr>
        <w:t>lichen Aufwendungen gegenübergestellt werden, die bei der Ausbildung eines Gesunden zur Erreichung des gleichen beruflichen Zieles notwendig wären. Hatte der Versicherte vor Eintritt der Invalidität schon eine Ausbildung bego</w:t>
      </w:r>
      <w:r w:rsidRPr="004B4A08">
        <w:rPr>
          <w:lang w:val="de-DE"/>
        </w:rPr>
        <w:t>n</w:t>
      </w:r>
      <w:r w:rsidRPr="004B4A08">
        <w:rPr>
          <w:lang w:val="de-DE"/>
        </w:rPr>
        <w:t>nen oder hätte er ohne Invalidität offensichtlich eine weniger kostspielige Au</w:t>
      </w:r>
      <w:r w:rsidRPr="004B4A08">
        <w:rPr>
          <w:lang w:val="de-DE"/>
        </w:rPr>
        <w:t>s</w:t>
      </w:r>
      <w:r w:rsidRPr="004B4A08">
        <w:rPr>
          <w:lang w:val="de-DE"/>
        </w:rPr>
        <w:t>bildung erhalten, so bilden die Kosten dieser Ausbildung die Vergleichsgrundl</w:t>
      </w:r>
      <w:r w:rsidRPr="004B4A08">
        <w:rPr>
          <w:lang w:val="de-DE"/>
        </w:rPr>
        <w:t>a</w:t>
      </w:r>
      <w:r w:rsidRPr="004B4A08">
        <w:rPr>
          <w:lang w:val="de-DE"/>
        </w:rPr>
        <w:t>ge für die Berechnung der invaliditätsbedingten zusätzlichen Aufwendungen</w:t>
      </w:r>
      <w:r>
        <w:rPr>
          <w:rStyle w:val="Funotenzeichen"/>
          <w:lang w:val="de-DE"/>
        </w:rPr>
        <w:footnoteReference w:id="46"/>
      </w:r>
      <w:r w:rsidR="00BF578A">
        <w:rPr>
          <w:lang w:val="de-DE"/>
        </w:rPr>
        <w:t>.</w:t>
      </w:r>
    </w:p>
    <w:p w14:paraId="33CD86DD" w14:textId="03D4C167" w:rsidR="00CF6EAA" w:rsidRDefault="00CF6EAA" w:rsidP="00CF6EAA">
      <w:pPr>
        <w:pStyle w:val="berschrift4"/>
        <w:rPr>
          <w:lang w:val="de-DE"/>
        </w:rPr>
      </w:pPr>
      <w:bookmarkStart w:id="27" w:name="_Toc246328756"/>
      <w:r>
        <w:rPr>
          <w:lang w:val="de-DE"/>
        </w:rPr>
        <w:t>Eingliederungstaggeld</w:t>
      </w:r>
      <w:bookmarkEnd w:id="27"/>
    </w:p>
    <w:p w14:paraId="2DBBE400" w14:textId="30341C62" w:rsidR="00CF6EAA" w:rsidRDefault="00CF6EAA" w:rsidP="00CF6EAA">
      <w:pPr>
        <w:pStyle w:val="Grundtext"/>
        <w:rPr>
          <w:lang w:val="de-DE"/>
        </w:rPr>
      </w:pPr>
      <w:r w:rsidRPr="00CF6EAA">
        <w:rPr>
          <w:lang w:val="de-DE"/>
        </w:rPr>
        <w:t>Versicherte haben während der Durchführung von Eingliederungsmassnahmen Anspruch auf ein Taggeld, wenn sie an wenigstens drei aufeinander folgenden Tagen wegen der Massnahmen verhindert sind, einer Arbeit nachzugehen, oder in ihrer gewohnten Tätigkeit zu mindestens 50 Prozent arbeitsunfähig sind</w:t>
      </w:r>
      <w:r>
        <w:rPr>
          <w:rStyle w:val="Funotenzeichen"/>
          <w:lang w:val="de-DE"/>
        </w:rPr>
        <w:footnoteReference w:id="47"/>
      </w:r>
      <w:r w:rsidR="00BF578A">
        <w:rPr>
          <w:lang w:val="de-DE"/>
        </w:rPr>
        <w:t>.</w:t>
      </w:r>
      <w:r w:rsidR="00B47931">
        <w:rPr>
          <w:lang w:val="de-DE"/>
        </w:rPr>
        <w:t xml:space="preserve"> </w:t>
      </w:r>
      <w:r w:rsidR="00B47931" w:rsidRPr="00B47931">
        <w:rPr>
          <w:lang w:val="de-DE"/>
        </w:rPr>
        <w:t xml:space="preserve">Versicherte in der erstmaligen beruflichen Ausbildung und Versicherte, die das 20. Altersjahr noch nicht vollendet haben und noch nicht erwerbstätig gewesen sind, haben </w:t>
      </w:r>
      <w:r w:rsidR="00D2483E">
        <w:rPr>
          <w:lang w:val="de-DE"/>
        </w:rPr>
        <w:t xml:space="preserve">ebenfalls </w:t>
      </w:r>
      <w:r w:rsidR="00B47931" w:rsidRPr="00B47931">
        <w:rPr>
          <w:lang w:val="de-DE"/>
        </w:rPr>
        <w:t>Anspruch auf ein Taggeld, wenn sie ihre Erwerbsfähigkeit ganz oder teilweise einbüssen</w:t>
      </w:r>
      <w:r w:rsidR="00B47931">
        <w:rPr>
          <w:rStyle w:val="Funotenzeichen"/>
          <w:lang w:val="de-DE"/>
        </w:rPr>
        <w:footnoteReference w:id="48"/>
      </w:r>
      <w:r w:rsidR="00B47931" w:rsidRPr="00B47931">
        <w:rPr>
          <w:lang w:val="de-DE"/>
        </w:rPr>
        <w:t>.</w:t>
      </w:r>
      <w:r w:rsidR="00B47931">
        <w:rPr>
          <w:lang w:val="de-DE"/>
        </w:rPr>
        <w:t xml:space="preserve"> </w:t>
      </w:r>
      <w:r w:rsidR="00B47931" w:rsidRPr="00B47931">
        <w:rPr>
          <w:lang w:val="de-DE"/>
        </w:rPr>
        <w:t xml:space="preserve">Das Taggeld wird </w:t>
      </w:r>
      <w:r w:rsidR="00D2483E">
        <w:rPr>
          <w:lang w:val="de-DE"/>
        </w:rPr>
        <w:t xml:space="preserve">jedoch </w:t>
      </w:r>
      <w:r w:rsidR="00B47931" w:rsidRPr="00B47931">
        <w:rPr>
          <w:lang w:val="de-DE"/>
        </w:rPr>
        <w:t>frühestens ab dem ersten Tag des Monats gewährt, welcher der Vollendung des 18. Altersjahres folgt</w:t>
      </w:r>
      <w:r w:rsidR="00B47931">
        <w:rPr>
          <w:rStyle w:val="Funotenzeichen"/>
          <w:lang w:val="de-DE"/>
        </w:rPr>
        <w:footnoteReference w:id="49"/>
      </w:r>
      <w:r w:rsidR="00BF578A">
        <w:rPr>
          <w:lang w:val="de-DE"/>
        </w:rPr>
        <w:t>.</w:t>
      </w:r>
    </w:p>
    <w:p w14:paraId="7A2977CF" w14:textId="39379617" w:rsidR="0015771A" w:rsidRPr="00CF6EAA" w:rsidRDefault="0015771A" w:rsidP="0015771A">
      <w:pPr>
        <w:pStyle w:val="Grundtext"/>
      </w:pPr>
      <w:r w:rsidRPr="0015771A">
        <w:rPr>
          <w:lang w:val="de-DE"/>
        </w:rPr>
        <w:t xml:space="preserve">Das Taggeld von Versicherten in der erstmaligen beruflichen Ausbildung sowie von Versicherten vor dem vollendeten 20. Altersjahr, die noch nicht erwerbstätig gewesen sind und sich Eingliederungsmassnahmen unterziehen, </w:t>
      </w:r>
      <w:r w:rsidR="00B561AC">
        <w:rPr>
          <w:lang w:val="de-DE"/>
        </w:rPr>
        <w:t>wird</w:t>
      </w:r>
      <w:r w:rsidR="00B561AC" w:rsidRPr="00B561AC">
        <w:rPr>
          <w:lang w:val="de-DE"/>
        </w:rPr>
        <w:t xml:space="preserve"> «kleines Taggeld» genannt und</w:t>
      </w:r>
      <w:r w:rsidR="00B561AC">
        <w:rPr>
          <w:lang w:val="de-DE"/>
        </w:rPr>
        <w:t xml:space="preserve"> </w:t>
      </w:r>
      <w:r w:rsidRPr="0015771A">
        <w:rPr>
          <w:lang w:val="de-DE"/>
        </w:rPr>
        <w:t xml:space="preserve">entspricht 10 Prozent </w:t>
      </w:r>
      <w:r>
        <w:rPr>
          <w:lang w:val="de-DE"/>
        </w:rPr>
        <w:t xml:space="preserve">des </w:t>
      </w:r>
      <w:r w:rsidRPr="0015771A">
        <w:rPr>
          <w:lang w:val="de-DE"/>
        </w:rPr>
        <w:t>Höchstbetrag</w:t>
      </w:r>
      <w:r>
        <w:rPr>
          <w:lang w:val="de-DE"/>
        </w:rPr>
        <w:t>es</w:t>
      </w:r>
      <w:r w:rsidRPr="0015771A">
        <w:rPr>
          <w:lang w:val="de-DE"/>
        </w:rPr>
        <w:t xml:space="preserve"> des </w:t>
      </w:r>
      <w:r>
        <w:rPr>
          <w:lang w:val="de-DE"/>
        </w:rPr>
        <w:t xml:space="preserve">gemäss UVG </w:t>
      </w:r>
      <w:r w:rsidRPr="0015771A">
        <w:rPr>
          <w:lang w:val="de-DE"/>
        </w:rPr>
        <w:t>versicherten Tagesverdienstes</w:t>
      </w:r>
      <w:r w:rsidR="00B561AC">
        <w:rPr>
          <w:lang w:val="de-DE"/>
        </w:rPr>
        <w:t xml:space="preserve"> (derzeit CHF 34.60 pro Tag)</w:t>
      </w:r>
      <w:r>
        <w:rPr>
          <w:rStyle w:val="Funotenzeichen"/>
          <w:lang w:val="de-DE"/>
        </w:rPr>
        <w:footnoteReference w:id="50"/>
      </w:r>
      <w:r w:rsidR="00BF578A">
        <w:rPr>
          <w:lang w:val="de-DE"/>
        </w:rPr>
        <w:t>.</w:t>
      </w:r>
      <w:r w:rsidRPr="0015771A">
        <w:rPr>
          <w:lang w:val="de-DE"/>
        </w:rPr>
        <w:t> Bei Vers</w:t>
      </w:r>
      <w:r w:rsidRPr="0015771A">
        <w:rPr>
          <w:lang w:val="de-DE"/>
        </w:rPr>
        <w:t>i</w:t>
      </w:r>
      <w:r w:rsidRPr="0015771A">
        <w:rPr>
          <w:lang w:val="de-DE"/>
        </w:rPr>
        <w:t>cherten, die wegen ihrer Invalidität eine erstmalige berufliche Aus</w:t>
      </w:r>
      <w:r w:rsidR="00D2483E">
        <w:rPr>
          <w:lang w:val="de-DE"/>
        </w:rPr>
        <w:softHyphen/>
      </w:r>
      <w:r w:rsidRPr="0015771A">
        <w:rPr>
          <w:lang w:val="de-DE"/>
        </w:rPr>
        <w:t>bildung abbr</w:t>
      </w:r>
      <w:r w:rsidRPr="0015771A">
        <w:rPr>
          <w:lang w:val="de-DE"/>
        </w:rPr>
        <w:t>e</w:t>
      </w:r>
      <w:r w:rsidRPr="0015771A">
        <w:rPr>
          <w:lang w:val="de-DE"/>
        </w:rPr>
        <w:t>chen und eine neue beginnen mussten, erhöht sich das Taggeld gegebenenfalls auf einen Dreissigstel des während der abgebrochenen Ausbildung zuletzt erzie</w:t>
      </w:r>
      <w:r w:rsidRPr="0015771A">
        <w:rPr>
          <w:lang w:val="de-DE"/>
        </w:rPr>
        <w:t>l</w:t>
      </w:r>
      <w:r w:rsidRPr="0015771A">
        <w:rPr>
          <w:lang w:val="de-DE"/>
        </w:rPr>
        <w:t>ten Monatseinkommens</w:t>
      </w:r>
      <w:r w:rsidR="00B561AC">
        <w:rPr>
          <w:lang w:val="de-DE"/>
        </w:rPr>
        <w:t xml:space="preserve"> (</w:t>
      </w:r>
      <w:r w:rsidR="006E27C0">
        <w:rPr>
          <w:lang w:val="de-DE"/>
        </w:rPr>
        <w:t>maximal CHF 103.80 pro Tag)</w:t>
      </w:r>
      <w:r>
        <w:rPr>
          <w:rStyle w:val="Funotenzeichen"/>
          <w:lang w:val="de-DE"/>
        </w:rPr>
        <w:footnoteReference w:id="51"/>
      </w:r>
      <w:r w:rsidR="00BF578A">
        <w:rPr>
          <w:lang w:val="de-DE"/>
        </w:rPr>
        <w:t>.</w:t>
      </w:r>
      <w:r w:rsidRPr="0015771A">
        <w:rPr>
          <w:lang w:val="de-DE"/>
        </w:rPr>
        <w:t xml:space="preserve"> </w:t>
      </w:r>
    </w:p>
    <w:p w14:paraId="3C0812F8" w14:textId="63564A5B" w:rsidR="00BD1AA7" w:rsidRDefault="00BD1AA7" w:rsidP="00927410">
      <w:pPr>
        <w:pStyle w:val="berschrift2"/>
        <w:rPr>
          <w:lang w:val="de-DE"/>
        </w:rPr>
      </w:pPr>
      <w:r>
        <w:rPr>
          <w:lang w:val="de-DE"/>
        </w:rPr>
        <w:t xml:space="preserve"> </w:t>
      </w:r>
      <w:bookmarkStart w:id="28" w:name="_Toc246328757"/>
      <w:r>
        <w:rPr>
          <w:lang w:val="de-DE"/>
        </w:rPr>
        <w:t>Hilfsmittel</w:t>
      </w:r>
      <w:bookmarkEnd w:id="28"/>
    </w:p>
    <w:p w14:paraId="6615D805" w14:textId="1B3A4050" w:rsidR="00504DC6" w:rsidRDefault="00036587" w:rsidP="00BD1AA7">
      <w:pPr>
        <w:pStyle w:val="Grundtext"/>
        <w:rPr>
          <w:lang w:val="de-DE"/>
        </w:rPr>
      </w:pPr>
      <w:r w:rsidRPr="00036587">
        <w:rPr>
          <w:lang w:val="de-DE"/>
        </w:rPr>
        <w:t>Das IVG statuiert einen Hilfsmittelanspruch</w:t>
      </w:r>
      <w:r w:rsidRPr="00036587">
        <w:rPr>
          <w:vertAlign w:val="superscript"/>
          <w:lang w:val="de-DE"/>
        </w:rPr>
        <w:footnoteReference w:id="52"/>
      </w:r>
      <w:r w:rsidR="00BF578A">
        <w:rPr>
          <w:lang w:val="de-DE"/>
        </w:rPr>
        <w:t>,</w:t>
      </w:r>
      <w:r w:rsidRPr="00036587">
        <w:rPr>
          <w:lang w:val="de-DE"/>
        </w:rPr>
        <w:t xml:space="preserve"> der Teil der Eingliederungsmas</w:t>
      </w:r>
      <w:r w:rsidRPr="00036587">
        <w:rPr>
          <w:lang w:val="de-DE"/>
        </w:rPr>
        <w:t>s</w:t>
      </w:r>
      <w:r w:rsidRPr="00036587">
        <w:rPr>
          <w:lang w:val="de-DE"/>
        </w:rPr>
        <w:t>nahmen ist</w:t>
      </w:r>
      <w:r w:rsidRPr="00036587">
        <w:rPr>
          <w:vertAlign w:val="superscript"/>
          <w:lang w:val="de-DE"/>
        </w:rPr>
        <w:footnoteReference w:id="53"/>
      </w:r>
      <w:r w:rsidR="00BF578A">
        <w:rPr>
          <w:lang w:val="de-DE"/>
        </w:rPr>
        <w:t>.</w:t>
      </w:r>
      <w:r w:rsidRPr="00036587">
        <w:rPr>
          <w:lang w:val="de-DE"/>
        </w:rPr>
        <w:t xml:space="preserve"> Unter Hilfsmittel im IV-rechtlichen Sinne ist ein Gegenstand zu verstehen, dessen Gebrauch den Ausfall gewisser Teile des menschlichen Kö</w:t>
      </w:r>
      <w:r w:rsidRPr="00036587">
        <w:rPr>
          <w:lang w:val="de-DE"/>
        </w:rPr>
        <w:t>r</w:t>
      </w:r>
      <w:r w:rsidRPr="00036587">
        <w:rPr>
          <w:lang w:val="de-DE"/>
        </w:rPr>
        <w:t>pers zu ersetzten vermag</w:t>
      </w:r>
      <w:r w:rsidRPr="00036587">
        <w:rPr>
          <w:vertAlign w:val="superscript"/>
          <w:lang w:val="de-DE"/>
        </w:rPr>
        <w:footnoteReference w:id="54"/>
      </w:r>
      <w:r w:rsidR="00BF578A">
        <w:rPr>
          <w:lang w:val="de-DE"/>
        </w:rPr>
        <w:t>.</w:t>
      </w:r>
      <w:r w:rsidRPr="00036587">
        <w:rPr>
          <w:lang w:val="de-DE"/>
        </w:rPr>
        <w:t xml:space="preserve"> </w:t>
      </w:r>
      <w:r w:rsidR="00D5273D" w:rsidRPr="00D5273D">
        <w:rPr>
          <w:lang w:val="de-DE"/>
        </w:rPr>
        <w:t>Erfüllt ein Behelf den Hilfsmittelbegriff nicht, ist stets zu prüfen, ob er als Behandlungsgerät im Rahmen medizinischer Massna</w:t>
      </w:r>
      <w:r w:rsidR="00D5273D" w:rsidRPr="00D5273D">
        <w:rPr>
          <w:lang w:val="de-DE"/>
        </w:rPr>
        <w:t>h</w:t>
      </w:r>
      <w:r w:rsidR="00D5273D" w:rsidRPr="00D5273D">
        <w:rPr>
          <w:lang w:val="de-DE"/>
        </w:rPr>
        <w:t>men nach Art. 12 oder</w:t>
      </w:r>
      <w:r w:rsidR="00D5273D">
        <w:rPr>
          <w:lang w:val="de-DE"/>
        </w:rPr>
        <w:t xml:space="preserve"> 13 IVG</w:t>
      </w:r>
      <w:r w:rsidR="00D5273D" w:rsidRPr="00D5273D">
        <w:rPr>
          <w:lang w:val="de-DE"/>
        </w:rPr>
        <w:t xml:space="preserve"> zu gewähren ist. </w:t>
      </w:r>
      <w:r w:rsidR="00615536" w:rsidRPr="00615536">
        <w:rPr>
          <w:lang w:val="de-DE"/>
        </w:rPr>
        <w:t>Der spezifische Invaliditätsfall der Hilfsmittelbedürftigkeit ist eingetreten, wenn der Gesundheitsschaden obje</w:t>
      </w:r>
      <w:r w:rsidR="00615536" w:rsidRPr="00615536">
        <w:rPr>
          <w:lang w:val="de-DE"/>
        </w:rPr>
        <w:t>k</w:t>
      </w:r>
      <w:r w:rsidR="00615536" w:rsidRPr="00615536">
        <w:rPr>
          <w:lang w:val="de-DE"/>
        </w:rPr>
        <w:t>tiv erstmals die Versorgung mit einem Hilfsmittel notwendig macht. Dieser Zei</w:t>
      </w:r>
      <w:r w:rsidR="00615536" w:rsidRPr="00615536">
        <w:rPr>
          <w:lang w:val="de-DE"/>
        </w:rPr>
        <w:t>t</w:t>
      </w:r>
      <w:r w:rsidR="00615536" w:rsidRPr="00615536">
        <w:rPr>
          <w:lang w:val="de-DE"/>
        </w:rPr>
        <w:t>punkt braucht nicht mit jenem der erstmaligen Behandlungsbedürftigkeit übe</w:t>
      </w:r>
      <w:r w:rsidR="00615536" w:rsidRPr="00615536">
        <w:rPr>
          <w:lang w:val="de-DE"/>
        </w:rPr>
        <w:t>r</w:t>
      </w:r>
      <w:r w:rsidR="00615536" w:rsidRPr="00615536">
        <w:rPr>
          <w:lang w:val="de-DE"/>
        </w:rPr>
        <w:t>einzustimmen</w:t>
      </w:r>
      <w:r w:rsidR="00615536" w:rsidRPr="00615536">
        <w:rPr>
          <w:vertAlign w:val="superscript"/>
          <w:lang w:val="de-DE"/>
        </w:rPr>
        <w:footnoteReference w:id="55"/>
      </w:r>
      <w:r w:rsidR="00BF578A">
        <w:rPr>
          <w:lang w:val="de-DE"/>
        </w:rPr>
        <w:t>.</w:t>
      </w:r>
      <w:r w:rsidR="004E72AC">
        <w:rPr>
          <w:lang w:val="de-DE"/>
        </w:rPr>
        <w:t xml:space="preserve"> </w:t>
      </w:r>
    </w:p>
    <w:p w14:paraId="2D2DB6ED" w14:textId="79218769" w:rsidR="00036587" w:rsidRPr="00870CE5" w:rsidRDefault="004E72AC" w:rsidP="00BD1AA7">
      <w:pPr>
        <w:pStyle w:val="Grundtext"/>
      </w:pPr>
      <w:r w:rsidRPr="004E72AC">
        <w:t>Elektrische und elektronische Kommunikationsgeräte fallen nicht unter den Hilfsmittelbegriff, soweit sie zum Zweck des Spracherwerbs eingesetzt werden</w:t>
      </w:r>
      <w:r>
        <w:rPr>
          <w:rStyle w:val="Funotenzeichen"/>
        </w:rPr>
        <w:footnoteReference w:id="56"/>
      </w:r>
      <w:r w:rsidR="00BF578A">
        <w:t>.</w:t>
      </w:r>
      <w:r w:rsidRPr="004E72AC">
        <w:t xml:space="preserve"> Deren Nichtabgabe durch die Invalidenversicherung hält insoweit auch unter verfassungsrechtlichen Gesichtspunkten (Diskriminierungsverbot, Gebot der rechtsgleichen Behandlung, persönliche Freiheit) stand</w:t>
      </w:r>
      <w:r>
        <w:rPr>
          <w:rStyle w:val="Funotenzeichen"/>
        </w:rPr>
        <w:footnoteReference w:id="57"/>
      </w:r>
      <w:r w:rsidR="00BF578A">
        <w:t>.</w:t>
      </w:r>
      <w:r w:rsidR="00B70DC0">
        <w:t xml:space="preserve"> </w:t>
      </w:r>
      <w:r w:rsidR="00B70DC0" w:rsidRPr="00B70DC0">
        <w:rPr>
          <w:lang w:val="de-DE"/>
        </w:rPr>
        <w:t>Die Beschränkung des Anspruchs auf invaliditätsbedingte Abänderungen an Motorfahrzeugen auf vol</w:t>
      </w:r>
      <w:r w:rsidR="00B70DC0" w:rsidRPr="00B70DC0">
        <w:rPr>
          <w:lang w:val="de-DE"/>
        </w:rPr>
        <w:t>l</w:t>
      </w:r>
      <w:r w:rsidR="00B70DC0" w:rsidRPr="00B70DC0">
        <w:rPr>
          <w:lang w:val="de-DE"/>
        </w:rPr>
        <w:t>jährige Versicherte</w:t>
      </w:r>
      <w:r w:rsidR="00B70DC0">
        <w:rPr>
          <w:lang w:val="de-DE"/>
        </w:rPr>
        <w:t xml:space="preserve"> demgegenüber</w:t>
      </w:r>
      <w:r w:rsidR="00B70DC0" w:rsidRPr="00B70DC0">
        <w:rPr>
          <w:lang w:val="de-DE"/>
        </w:rPr>
        <w:t xml:space="preserve"> widerspricht Gesetz und Verfassung</w:t>
      </w:r>
      <w:r w:rsidR="00B70DC0">
        <w:rPr>
          <w:rStyle w:val="Funotenzeichen"/>
          <w:lang w:val="de-DE"/>
        </w:rPr>
        <w:footnoteReference w:id="58"/>
      </w:r>
      <w:r w:rsidR="00BF578A">
        <w:rPr>
          <w:lang w:val="de-DE"/>
        </w:rPr>
        <w:t>.</w:t>
      </w:r>
    </w:p>
    <w:p w14:paraId="1CCC76A2" w14:textId="29ADE160" w:rsidR="00BD1AA7" w:rsidRPr="00BD1AA7" w:rsidRDefault="00BD1AA7" w:rsidP="00BD1AA7">
      <w:pPr>
        <w:pStyle w:val="Grundtext"/>
      </w:pPr>
      <w:r w:rsidRPr="00BD1AA7">
        <w:rPr>
          <w:lang w:val="de-DE"/>
        </w:rPr>
        <w:t>Das Hilfsmittel muss nicht nur von einer Hilfsperson, sondern auch von der versicherten Person selbst bedient werden können</w:t>
      </w:r>
      <w:r w:rsidR="00615536">
        <w:rPr>
          <w:rStyle w:val="Funotenzeichen"/>
          <w:lang w:val="de-DE"/>
        </w:rPr>
        <w:footnoteReference w:id="59"/>
      </w:r>
      <w:r w:rsidR="00BF578A">
        <w:rPr>
          <w:lang w:val="de-DE"/>
        </w:rPr>
        <w:t>.</w:t>
      </w:r>
      <w:r w:rsidRPr="00BD1AA7">
        <w:rPr>
          <w:lang w:val="de-DE"/>
        </w:rPr>
        <w:t xml:space="preserve"> Das Erfordernis der notwe</w:t>
      </w:r>
      <w:r w:rsidRPr="00BD1AA7">
        <w:rPr>
          <w:lang w:val="de-DE"/>
        </w:rPr>
        <w:t>n</w:t>
      </w:r>
      <w:r w:rsidRPr="00BD1AA7">
        <w:rPr>
          <w:lang w:val="de-DE"/>
        </w:rPr>
        <w:t>digen intellektuellen und motorischen Fähigkeiten zur Bedienung des Hilfsmi</w:t>
      </w:r>
      <w:r w:rsidRPr="00BD1AA7">
        <w:rPr>
          <w:lang w:val="de-DE"/>
        </w:rPr>
        <w:t>t</w:t>
      </w:r>
      <w:r w:rsidRPr="00BD1AA7">
        <w:rPr>
          <w:lang w:val="de-DE"/>
        </w:rPr>
        <w:t>tels ist bei schwerstbehinderten Kindern dahin gehend zu verstehen, dass einze</w:t>
      </w:r>
      <w:r w:rsidRPr="00BD1AA7">
        <w:rPr>
          <w:lang w:val="de-DE"/>
        </w:rPr>
        <w:t>l</w:t>
      </w:r>
      <w:r w:rsidRPr="00BD1AA7">
        <w:rPr>
          <w:lang w:val="de-DE"/>
        </w:rPr>
        <w:t>fallweise zu prüfen ist, ob mit einem Hilfsmittel die Kommunikationsfähigkeit des Kindes unter Berücksichtigung seiner Möglichkeit</w:t>
      </w:r>
      <w:r w:rsidR="00615536">
        <w:rPr>
          <w:lang w:val="de-DE"/>
        </w:rPr>
        <w:t>en nützlich erweitert we</w:t>
      </w:r>
      <w:r w:rsidR="00615536">
        <w:rPr>
          <w:lang w:val="de-DE"/>
        </w:rPr>
        <w:t>r</w:t>
      </w:r>
      <w:r w:rsidR="00615536">
        <w:rPr>
          <w:lang w:val="de-DE"/>
        </w:rPr>
        <w:t>de kann</w:t>
      </w:r>
      <w:r w:rsidR="00615536">
        <w:rPr>
          <w:rStyle w:val="Funotenzeichen"/>
          <w:lang w:val="de-DE"/>
        </w:rPr>
        <w:footnoteReference w:id="60"/>
      </w:r>
      <w:r w:rsidR="00BF578A">
        <w:rPr>
          <w:lang w:val="de-DE"/>
        </w:rPr>
        <w:t>.</w:t>
      </w:r>
    </w:p>
    <w:p w14:paraId="729E2257" w14:textId="77777777" w:rsidR="001906EB" w:rsidRPr="001906EB" w:rsidRDefault="001906EB" w:rsidP="00927410">
      <w:pPr>
        <w:pStyle w:val="berschrift2"/>
        <w:rPr>
          <w:lang w:val="de-DE"/>
        </w:rPr>
      </w:pPr>
      <w:bookmarkStart w:id="29" w:name="_Toc246328758"/>
      <w:r w:rsidRPr="001906EB">
        <w:rPr>
          <w:lang w:val="de-DE"/>
        </w:rPr>
        <w:t>Invalidenrente</w:t>
      </w:r>
      <w:bookmarkEnd w:id="29"/>
    </w:p>
    <w:p w14:paraId="7D5D077B" w14:textId="29063637" w:rsidR="00EF3F19" w:rsidRDefault="00B515BC" w:rsidP="001906EB">
      <w:pPr>
        <w:pStyle w:val="berschrift3"/>
        <w:rPr>
          <w:lang w:val="de-DE"/>
        </w:rPr>
      </w:pPr>
      <w:bookmarkStart w:id="30" w:name="_Toc246328759"/>
      <w:r>
        <w:rPr>
          <w:lang w:val="de-DE"/>
        </w:rPr>
        <w:t>Allgemeines</w:t>
      </w:r>
      <w:bookmarkEnd w:id="30"/>
    </w:p>
    <w:p w14:paraId="2921C75C" w14:textId="7138CD4F" w:rsidR="00EF3F19" w:rsidRPr="00EF3F19" w:rsidRDefault="009B75A1" w:rsidP="00EF3F19">
      <w:pPr>
        <w:pStyle w:val="Grundtext"/>
      </w:pPr>
      <w:r w:rsidRPr="009B75A1">
        <w:rPr>
          <w:lang w:val="de-DE"/>
        </w:rPr>
        <w:t xml:space="preserve">Der </w:t>
      </w:r>
      <w:r>
        <w:rPr>
          <w:lang w:val="de-DE"/>
        </w:rPr>
        <w:t>IV-</w:t>
      </w:r>
      <w:r w:rsidRPr="009B75A1">
        <w:rPr>
          <w:lang w:val="de-DE"/>
        </w:rPr>
        <w:t>Rentenanspruch entsteht frühestens nach Ablauf von sechs Monaten nach Geltendmachung des Leistungsanspruchs, jedoch frühestens im Monat, der auf die Vollendung des 18. Altersjahres folgt</w:t>
      </w:r>
      <w:r>
        <w:rPr>
          <w:rStyle w:val="Funotenzeichen"/>
          <w:lang w:val="de-DE"/>
        </w:rPr>
        <w:footnoteReference w:id="61"/>
      </w:r>
      <w:r w:rsidR="00BF578A">
        <w:rPr>
          <w:lang w:val="de-DE"/>
        </w:rPr>
        <w:t>.</w:t>
      </w:r>
      <w:r>
        <w:rPr>
          <w:lang w:val="de-DE"/>
        </w:rPr>
        <w:t xml:space="preserve"> </w:t>
      </w:r>
      <w:r w:rsidR="00993EAE">
        <w:rPr>
          <w:lang w:val="de-DE"/>
        </w:rPr>
        <w:t>Unter I</w:t>
      </w:r>
      <w:r w:rsidR="00504DC6" w:rsidRPr="00504DC6">
        <w:t>nvalidität ist die voraussich</w:t>
      </w:r>
      <w:r w:rsidR="00504DC6" w:rsidRPr="00504DC6">
        <w:t>t</w:t>
      </w:r>
      <w:r w:rsidR="00504DC6" w:rsidRPr="00504DC6">
        <w:t>lich bleibende oder längere Zeit dauernde ganze oder teilweise Erwerbsunfähi</w:t>
      </w:r>
      <w:r w:rsidR="00504DC6" w:rsidRPr="00504DC6">
        <w:t>g</w:t>
      </w:r>
      <w:r w:rsidR="00504DC6" w:rsidRPr="00504DC6">
        <w:t>keit</w:t>
      </w:r>
      <w:r w:rsidR="00993EAE">
        <w:t xml:space="preserve"> zu verstehen</w:t>
      </w:r>
      <w:r w:rsidR="00504DC6">
        <w:rPr>
          <w:rStyle w:val="Funotenzeichen"/>
        </w:rPr>
        <w:footnoteReference w:id="62"/>
      </w:r>
      <w:r w:rsidR="00BF578A">
        <w:t>.</w:t>
      </w:r>
      <w:r w:rsidR="00504DC6">
        <w:t xml:space="preserve"> </w:t>
      </w:r>
      <w:r w:rsidR="0009258C">
        <w:t>Entsprechend bemisst sich die Invalidität nach Massgabe der</w:t>
      </w:r>
      <w:r w:rsidR="00933A83">
        <w:t xml:space="preserve"> </w:t>
      </w:r>
      <w:r w:rsidR="0009258C">
        <w:t xml:space="preserve">Einkommensvergleichsmethode. </w:t>
      </w:r>
      <w:r w:rsidR="00277B4F" w:rsidRPr="00EF3F19">
        <w:rPr>
          <w:lang w:val="de-DE"/>
        </w:rPr>
        <w:t xml:space="preserve">Volljährige, die vor der Beeinträchtigung ihrer körperlichen, geistigen oder psychischen Gesundheit nicht erwerbstätig waren und denen </w:t>
      </w:r>
      <w:bookmarkStart w:id="31" w:name="OLE_LINK47"/>
      <w:bookmarkStart w:id="32" w:name="OLE_LINK48"/>
      <w:r w:rsidR="00277B4F" w:rsidRPr="00EF3F19">
        <w:rPr>
          <w:lang w:val="de-DE"/>
        </w:rPr>
        <w:t xml:space="preserve">eine Erwerbstätigkeit nicht zugemutet </w:t>
      </w:r>
      <w:bookmarkEnd w:id="31"/>
      <w:bookmarkEnd w:id="32"/>
      <w:r w:rsidR="00277B4F" w:rsidRPr="00EF3F19">
        <w:rPr>
          <w:lang w:val="de-DE"/>
        </w:rPr>
        <w:t xml:space="preserve">werden kann, gelten </w:t>
      </w:r>
      <w:r w:rsidR="0009258C">
        <w:rPr>
          <w:lang w:val="de-DE"/>
        </w:rPr>
        <w:t>demg</w:t>
      </w:r>
      <w:r w:rsidR="0009258C">
        <w:rPr>
          <w:lang w:val="de-DE"/>
        </w:rPr>
        <w:t>e</w:t>
      </w:r>
      <w:r w:rsidR="0009258C">
        <w:rPr>
          <w:lang w:val="de-DE"/>
        </w:rPr>
        <w:t xml:space="preserve">genüber </w:t>
      </w:r>
      <w:r w:rsidR="00277B4F" w:rsidRPr="00EF3F19">
        <w:rPr>
          <w:lang w:val="de-DE"/>
        </w:rPr>
        <w:t>als invalid, wenn eine Unmöglichkeit vorliegt, sich im bisherigen Au</w:t>
      </w:r>
      <w:r w:rsidR="00277B4F" w:rsidRPr="00EF3F19">
        <w:rPr>
          <w:lang w:val="de-DE"/>
        </w:rPr>
        <w:t>f</w:t>
      </w:r>
      <w:r w:rsidR="00277B4F" w:rsidRPr="00EF3F19">
        <w:rPr>
          <w:lang w:val="de-DE"/>
        </w:rPr>
        <w:t>gabenbereich zu betätigen</w:t>
      </w:r>
      <w:r w:rsidR="00277B4F">
        <w:rPr>
          <w:rStyle w:val="Funotenzeichen"/>
          <w:lang w:val="de-DE"/>
        </w:rPr>
        <w:footnoteReference w:id="63"/>
      </w:r>
      <w:r w:rsidR="00BF578A">
        <w:rPr>
          <w:lang w:val="de-DE"/>
        </w:rPr>
        <w:t>.</w:t>
      </w:r>
    </w:p>
    <w:p w14:paraId="691AB1E5" w14:textId="4C59CE63" w:rsidR="001906EB" w:rsidRDefault="000B036B" w:rsidP="001906EB">
      <w:pPr>
        <w:pStyle w:val="berschrift3"/>
        <w:rPr>
          <w:lang w:val="de-DE"/>
        </w:rPr>
      </w:pPr>
      <w:bookmarkStart w:id="33" w:name="_Toc246328760"/>
      <w:r>
        <w:rPr>
          <w:lang w:val="de-DE"/>
        </w:rPr>
        <w:t>Invaliditäts</w:t>
      </w:r>
      <w:r w:rsidR="001906EB" w:rsidRPr="001906EB">
        <w:rPr>
          <w:lang w:val="de-DE"/>
        </w:rPr>
        <w:t>bemessungsmethode</w:t>
      </w:r>
      <w:bookmarkEnd w:id="33"/>
    </w:p>
    <w:p w14:paraId="1B81DD9A" w14:textId="4DC0C2F2" w:rsidR="00277B4F" w:rsidRPr="00277B4F" w:rsidRDefault="003D7E4B" w:rsidP="00277B4F">
      <w:pPr>
        <w:pStyle w:val="berschrift4"/>
      </w:pPr>
      <w:bookmarkStart w:id="34" w:name="_Toc246328761"/>
      <w:r>
        <w:rPr>
          <w:lang w:val="de-DE"/>
        </w:rPr>
        <w:t>Versicherte</w:t>
      </w:r>
      <w:r w:rsidR="00277B4F" w:rsidRPr="00277B4F">
        <w:rPr>
          <w:lang w:val="de-DE"/>
        </w:rPr>
        <w:t xml:space="preserve"> vor dem vollendeten 20. Altersjahr</w:t>
      </w:r>
      <w:bookmarkEnd w:id="34"/>
    </w:p>
    <w:p w14:paraId="4AF1C7EA" w14:textId="14902211" w:rsidR="00277B4F" w:rsidRDefault="0009258C" w:rsidP="00277B4F">
      <w:pPr>
        <w:pStyle w:val="Grundtext"/>
        <w:rPr>
          <w:lang w:val="de-DE"/>
        </w:rPr>
      </w:pPr>
      <w:r>
        <w:rPr>
          <w:lang w:val="de-DE"/>
        </w:rPr>
        <w:t xml:space="preserve">Geburts- und Frühinvalide stellen Sonderfälle dar. </w:t>
      </w:r>
      <w:r w:rsidR="00277B4F" w:rsidRPr="00EF3F19">
        <w:rPr>
          <w:lang w:val="de-DE"/>
        </w:rPr>
        <w:t>Nicht erwerbstätige Minde</w:t>
      </w:r>
      <w:r w:rsidR="00277B4F" w:rsidRPr="00EF3F19">
        <w:rPr>
          <w:lang w:val="de-DE"/>
        </w:rPr>
        <w:t>r</w:t>
      </w:r>
      <w:r w:rsidR="00277B4F" w:rsidRPr="00EF3F19">
        <w:rPr>
          <w:lang w:val="de-DE"/>
        </w:rPr>
        <w:t>jährige gelten als invalid, wenn die Beeinträchtigung ihrer körperlichen, geist</w:t>
      </w:r>
      <w:r w:rsidR="00277B4F" w:rsidRPr="00EF3F19">
        <w:rPr>
          <w:lang w:val="de-DE"/>
        </w:rPr>
        <w:t>i</w:t>
      </w:r>
      <w:r w:rsidR="00277B4F" w:rsidRPr="00EF3F19">
        <w:rPr>
          <w:lang w:val="de-DE"/>
        </w:rPr>
        <w:t>gen oder psychischen Gesundheit voraussichtlich eine ganze oder teilweise E</w:t>
      </w:r>
      <w:r w:rsidR="00277B4F" w:rsidRPr="00EF3F19">
        <w:rPr>
          <w:lang w:val="de-DE"/>
        </w:rPr>
        <w:t>r</w:t>
      </w:r>
      <w:r w:rsidR="00277B4F" w:rsidRPr="00EF3F19">
        <w:rPr>
          <w:lang w:val="de-DE"/>
        </w:rPr>
        <w:t>werbsunfähigkeit zur Folge haben wird</w:t>
      </w:r>
      <w:r w:rsidR="00277B4F">
        <w:rPr>
          <w:rStyle w:val="Funotenzeichen"/>
          <w:lang w:val="de-DE"/>
        </w:rPr>
        <w:footnoteReference w:id="64"/>
      </w:r>
      <w:r w:rsidR="00BF578A">
        <w:rPr>
          <w:lang w:val="de-DE"/>
        </w:rPr>
        <w:t>.</w:t>
      </w:r>
      <w:r w:rsidR="00277B4F" w:rsidRPr="00EF3F19">
        <w:rPr>
          <w:lang w:val="de-DE"/>
        </w:rPr>
        <w:t> </w:t>
      </w:r>
      <w:r>
        <w:rPr>
          <w:lang w:val="de-DE"/>
        </w:rPr>
        <w:t xml:space="preserve">Die </w:t>
      </w:r>
      <w:r w:rsidR="00197690">
        <w:rPr>
          <w:lang w:val="de-DE"/>
        </w:rPr>
        <w:t>Einkommensvergleichsmethode gilt</w:t>
      </w:r>
      <w:r>
        <w:rPr>
          <w:lang w:val="de-DE"/>
        </w:rPr>
        <w:t xml:space="preserve"> aber dann </w:t>
      </w:r>
      <w:r w:rsidR="00197690">
        <w:rPr>
          <w:lang w:val="de-DE"/>
        </w:rPr>
        <w:t xml:space="preserve">nicht, wenn </w:t>
      </w:r>
      <w:r w:rsidRPr="00EF3F19">
        <w:rPr>
          <w:lang w:val="de-DE"/>
        </w:rPr>
        <w:t>eine Erwerbstätigkeit nicht zumut</w:t>
      </w:r>
      <w:r>
        <w:rPr>
          <w:lang w:val="de-DE"/>
        </w:rPr>
        <w:t>bar ist</w:t>
      </w:r>
      <w:r>
        <w:rPr>
          <w:rStyle w:val="Funotenzeichen"/>
          <w:lang w:val="de-DE"/>
        </w:rPr>
        <w:footnoteReference w:id="65"/>
      </w:r>
      <w:r>
        <w:rPr>
          <w:lang w:val="de-DE"/>
        </w:rPr>
        <w:t xml:space="preserve"> oder</w:t>
      </w:r>
      <w:r w:rsidRPr="00EF3F19">
        <w:rPr>
          <w:lang w:val="de-DE"/>
        </w:rPr>
        <w:t xml:space="preserve"> </w:t>
      </w:r>
      <w:r w:rsidR="00197690">
        <w:rPr>
          <w:lang w:val="de-DE"/>
        </w:rPr>
        <w:t>den</w:t>
      </w:r>
      <w:r w:rsidR="00DE0C91" w:rsidRPr="00277B4F">
        <w:rPr>
          <w:lang w:val="de-DE"/>
        </w:rPr>
        <w:t xml:space="preserve"> in Ausbildung befin</w:t>
      </w:r>
      <w:r w:rsidR="00197690">
        <w:rPr>
          <w:lang w:val="de-DE"/>
        </w:rPr>
        <w:t>d</w:t>
      </w:r>
      <w:r w:rsidR="00DE0C91" w:rsidRPr="00277B4F">
        <w:rPr>
          <w:lang w:val="de-DE"/>
        </w:rPr>
        <w:t xml:space="preserve">lichen </w:t>
      </w:r>
      <w:r w:rsidR="00197690">
        <w:rPr>
          <w:lang w:val="de-DE"/>
        </w:rPr>
        <w:t xml:space="preserve">Versicherten </w:t>
      </w:r>
      <w:r w:rsidR="00DE0C91" w:rsidRPr="00277B4F">
        <w:rPr>
          <w:lang w:val="de-DE"/>
        </w:rPr>
        <w:t>die Aufnahme einer Erwerbstätigkeit</w:t>
      </w:r>
      <w:r w:rsidR="00197690">
        <w:rPr>
          <w:lang w:val="de-DE"/>
        </w:rPr>
        <w:t xml:space="preserve"> nach Abschluss der beruflichen Ausbildung </w:t>
      </w:r>
      <w:r w:rsidR="00DE0C91" w:rsidRPr="00277B4F">
        <w:rPr>
          <w:lang w:val="de-DE"/>
        </w:rPr>
        <w:t>nicht zugemutet werden kann</w:t>
      </w:r>
      <w:r>
        <w:rPr>
          <w:lang w:val="de-DE"/>
        </w:rPr>
        <w:t>.</w:t>
      </w:r>
      <w:r w:rsidR="00197690">
        <w:rPr>
          <w:lang w:val="de-DE"/>
        </w:rPr>
        <w:t xml:space="preserve"> </w:t>
      </w:r>
      <w:r>
        <w:rPr>
          <w:lang w:val="de-DE"/>
        </w:rPr>
        <w:t>I</w:t>
      </w:r>
      <w:r w:rsidR="00197690">
        <w:rPr>
          <w:lang w:val="de-DE"/>
        </w:rPr>
        <w:t>n diese</w:t>
      </w:r>
      <w:r>
        <w:rPr>
          <w:lang w:val="de-DE"/>
        </w:rPr>
        <w:t>n Fällen</w:t>
      </w:r>
      <w:r w:rsidR="00197690">
        <w:rPr>
          <w:lang w:val="de-DE"/>
        </w:rPr>
        <w:t xml:space="preserve"> ist der Invaliditätsgrad nach Massgabe der</w:t>
      </w:r>
      <w:r w:rsidR="00DE0C91" w:rsidRPr="00277B4F">
        <w:rPr>
          <w:lang w:val="de-DE"/>
        </w:rPr>
        <w:t xml:space="preserve"> Betätigungsvergleichsmethode</w:t>
      </w:r>
      <w:r w:rsidR="00197690">
        <w:rPr>
          <w:lang w:val="de-DE"/>
        </w:rPr>
        <w:t xml:space="preserve"> zu beurteilen</w:t>
      </w:r>
      <w:r w:rsidR="00DE0C91" w:rsidRPr="00277B4F">
        <w:rPr>
          <w:vertAlign w:val="superscript"/>
          <w:lang w:val="de-DE"/>
        </w:rPr>
        <w:footnoteReference w:id="66"/>
      </w:r>
      <w:r w:rsidR="00BF578A">
        <w:rPr>
          <w:lang w:val="de-DE"/>
        </w:rPr>
        <w:t>.</w:t>
      </w:r>
    </w:p>
    <w:p w14:paraId="677969DE" w14:textId="61BBAFD0" w:rsidR="00277B4F" w:rsidRDefault="003D7E4B" w:rsidP="00DE0C91">
      <w:pPr>
        <w:pStyle w:val="berschrift4"/>
        <w:rPr>
          <w:lang w:val="de-DE"/>
        </w:rPr>
      </w:pPr>
      <w:bookmarkStart w:id="35" w:name="_Toc246328762"/>
      <w:r>
        <w:rPr>
          <w:lang w:val="de-DE"/>
        </w:rPr>
        <w:t>Versicherte</w:t>
      </w:r>
      <w:r w:rsidR="009B0C97">
        <w:rPr>
          <w:lang w:val="de-DE"/>
        </w:rPr>
        <w:t xml:space="preserve"> nach dem vollendeten</w:t>
      </w:r>
      <w:r w:rsidR="00DE0C91" w:rsidRPr="00DE0C91">
        <w:rPr>
          <w:lang w:val="de-DE"/>
        </w:rPr>
        <w:t xml:space="preserve"> 20. Altersjahr</w:t>
      </w:r>
      <w:bookmarkEnd w:id="35"/>
    </w:p>
    <w:p w14:paraId="145112E0" w14:textId="210079D0" w:rsidR="00720B1A" w:rsidRDefault="00DE0C91" w:rsidP="00DE0C91">
      <w:pPr>
        <w:pStyle w:val="Grundtext"/>
        <w:rPr>
          <w:lang w:val="de-DE"/>
        </w:rPr>
      </w:pPr>
      <w:r w:rsidRPr="00DE0C91">
        <w:rPr>
          <w:lang w:val="de-DE"/>
        </w:rPr>
        <w:t xml:space="preserve">Bei Versicherten mit vollendetem 20. Altersjahr, die vor der Beeinträchtigung ihrer körperlichen, geistigen oder psychischen Gesundheit nicht erwerbstätig waren und denen </w:t>
      </w:r>
      <w:r w:rsidRPr="00197690">
        <w:rPr>
          <w:lang w:val="de-DE"/>
        </w:rPr>
        <w:t xml:space="preserve">eine Erwerbstätigkeit nicht zugemutet werden kann, bestimmt sich die Invalidität </w:t>
      </w:r>
      <w:r w:rsidR="0053040D">
        <w:rPr>
          <w:lang w:val="de-DE"/>
        </w:rPr>
        <w:t xml:space="preserve">ebenfalls </w:t>
      </w:r>
      <w:r w:rsidRPr="00197690">
        <w:rPr>
          <w:lang w:val="de-DE"/>
        </w:rPr>
        <w:t xml:space="preserve">nach </w:t>
      </w:r>
      <w:r w:rsidR="00277B4F" w:rsidRPr="00197690">
        <w:rPr>
          <w:lang w:val="de-DE"/>
        </w:rPr>
        <w:t>der Betätigungsvergleichsmethode</w:t>
      </w:r>
      <w:r w:rsidR="0053040D">
        <w:rPr>
          <w:lang w:val="de-DE"/>
        </w:rPr>
        <w:t>. M</w:t>
      </w:r>
      <w:r w:rsidR="00277B4F" w:rsidRPr="00197690">
        <w:rPr>
          <w:lang w:val="de-DE"/>
        </w:rPr>
        <w:t>assg</w:t>
      </w:r>
      <w:r w:rsidR="00277B4F" w:rsidRPr="00197690">
        <w:rPr>
          <w:lang w:val="de-DE"/>
        </w:rPr>
        <w:t>e</w:t>
      </w:r>
      <w:r w:rsidR="00277B4F" w:rsidRPr="00197690">
        <w:rPr>
          <w:lang w:val="de-DE"/>
        </w:rPr>
        <w:t>blich ist die gesundheitsbedingte Unmöglichkeit, sich im bisherigen Aufgabe</w:t>
      </w:r>
      <w:r w:rsidR="00277B4F" w:rsidRPr="00197690">
        <w:rPr>
          <w:lang w:val="de-DE"/>
        </w:rPr>
        <w:t>n</w:t>
      </w:r>
      <w:r w:rsidR="00277B4F" w:rsidRPr="00197690">
        <w:rPr>
          <w:lang w:val="de-DE"/>
        </w:rPr>
        <w:t>bereich zu betätigen</w:t>
      </w:r>
      <w:r w:rsidR="00277B4F" w:rsidRPr="00277B4F">
        <w:rPr>
          <w:vertAlign w:val="superscript"/>
          <w:lang w:val="de-DE"/>
        </w:rPr>
        <w:footnoteReference w:id="67"/>
      </w:r>
      <w:r w:rsidR="00BF578A">
        <w:rPr>
          <w:lang w:val="de-DE"/>
        </w:rPr>
        <w:t>.</w:t>
      </w:r>
    </w:p>
    <w:p w14:paraId="718A787B" w14:textId="0B38E25B" w:rsidR="00277B4F" w:rsidRPr="00277B4F" w:rsidRDefault="00720B1A" w:rsidP="00DE0C91">
      <w:pPr>
        <w:pStyle w:val="Grundtext"/>
        <w:rPr>
          <w:lang w:val="de-DE"/>
        </w:rPr>
      </w:pPr>
      <w:r>
        <w:rPr>
          <w:lang w:val="de-DE"/>
        </w:rPr>
        <w:t>Bei Versicherten, denen eine Erwerbstätigkeit zumutbar ist, gilt grundsätzlich die Einkommensvergleichsmethode. Im Rahmen der Abklärung der Statusfrage ist</w:t>
      </w:r>
      <w:r w:rsidR="00933A83">
        <w:rPr>
          <w:lang w:val="de-DE"/>
        </w:rPr>
        <w:t xml:space="preserve"> </w:t>
      </w:r>
      <w:r>
        <w:rPr>
          <w:lang w:val="de-DE"/>
        </w:rPr>
        <w:t>jedoch zu prüfen, ob der Versicherte überwiegend wahrscheinlich erwerbstätig</w:t>
      </w:r>
      <w:r w:rsidR="00933A83">
        <w:rPr>
          <w:lang w:val="de-DE"/>
        </w:rPr>
        <w:t xml:space="preserve"> </w:t>
      </w:r>
      <w:r>
        <w:rPr>
          <w:lang w:val="de-DE"/>
        </w:rPr>
        <w:t>oder die angestammten Aufgabenbereich tätig gewesen wäre. War der Versiche</w:t>
      </w:r>
      <w:r>
        <w:rPr>
          <w:lang w:val="de-DE"/>
        </w:rPr>
        <w:t>r</w:t>
      </w:r>
      <w:r>
        <w:rPr>
          <w:lang w:val="de-DE"/>
        </w:rPr>
        <w:t xml:space="preserve">te </w:t>
      </w:r>
      <w:r w:rsidRPr="00720B1A">
        <w:rPr>
          <w:lang w:val="de-DE"/>
        </w:rPr>
        <w:t>bereits im Kindesalter</w:t>
      </w:r>
      <w:r w:rsidR="005A7152">
        <w:rPr>
          <w:lang w:val="de-DE"/>
        </w:rPr>
        <w:t xml:space="preserve"> gesundheitlich beeinträchtigt und konnte er </w:t>
      </w:r>
      <w:r w:rsidRPr="00720B1A">
        <w:rPr>
          <w:lang w:val="de-DE"/>
        </w:rPr>
        <w:t>deshalb</w:t>
      </w:r>
      <w:r w:rsidR="005A7152">
        <w:rPr>
          <w:lang w:val="de-DE"/>
        </w:rPr>
        <w:t xml:space="preserve"> nur</w:t>
      </w:r>
      <w:r w:rsidR="00933A83">
        <w:rPr>
          <w:lang w:val="de-DE"/>
        </w:rPr>
        <w:t xml:space="preserve"> </w:t>
      </w:r>
      <w:r w:rsidR="005A7152">
        <w:rPr>
          <w:lang w:val="de-DE"/>
        </w:rPr>
        <w:t xml:space="preserve">sehr eingeschränkt eine schulische und berufliche Ausbildung absolvieren, sind </w:t>
      </w:r>
      <w:r w:rsidR="005A7152" w:rsidRPr="00720B1A">
        <w:rPr>
          <w:lang w:val="de-DE"/>
        </w:rPr>
        <w:t>für die</w:t>
      </w:r>
      <w:r w:rsidR="005A7152">
        <w:rPr>
          <w:lang w:val="de-DE"/>
        </w:rPr>
        <w:t xml:space="preserve"> Beantwortung der</w:t>
      </w:r>
      <w:r w:rsidR="005A7152" w:rsidRPr="00720B1A">
        <w:rPr>
          <w:lang w:val="de-DE"/>
        </w:rPr>
        <w:t xml:space="preserve"> Frage, in welchem Ausmass </w:t>
      </w:r>
      <w:r w:rsidR="005A7152">
        <w:rPr>
          <w:lang w:val="de-DE"/>
        </w:rPr>
        <w:t>er</w:t>
      </w:r>
      <w:r w:rsidR="005A7152" w:rsidRPr="00720B1A">
        <w:rPr>
          <w:lang w:val="de-DE"/>
        </w:rPr>
        <w:t xml:space="preserve"> als Gesunde</w:t>
      </w:r>
      <w:r w:rsidR="005A7152">
        <w:rPr>
          <w:lang w:val="de-DE"/>
        </w:rPr>
        <w:t>r</w:t>
      </w:r>
      <w:r w:rsidR="005A7152" w:rsidRPr="00720B1A">
        <w:rPr>
          <w:lang w:val="de-DE"/>
        </w:rPr>
        <w:t xml:space="preserve"> erwerbst</w:t>
      </w:r>
      <w:r w:rsidR="005A7152" w:rsidRPr="00720B1A">
        <w:rPr>
          <w:lang w:val="de-DE"/>
        </w:rPr>
        <w:t>ä</w:t>
      </w:r>
      <w:r w:rsidR="005A7152" w:rsidRPr="00720B1A">
        <w:rPr>
          <w:lang w:val="de-DE"/>
        </w:rPr>
        <w:t>tig wäre, primär die konkreten Lebensumstände</w:t>
      </w:r>
      <w:r w:rsidR="005A7152">
        <w:rPr>
          <w:lang w:val="de-DE"/>
        </w:rPr>
        <w:t xml:space="preserve"> im Verfügungszeitpunkt mas</w:t>
      </w:r>
      <w:r w:rsidR="005A7152">
        <w:rPr>
          <w:lang w:val="de-DE"/>
        </w:rPr>
        <w:t>s</w:t>
      </w:r>
      <w:r w:rsidR="005A7152">
        <w:rPr>
          <w:lang w:val="de-DE"/>
        </w:rPr>
        <w:t>geblich. In solchen Fällen ist zu berücksichtigen, dass</w:t>
      </w:r>
      <w:r w:rsidRPr="00720B1A">
        <w:rPr>
          <w:lang w:val="de-DE"/>
        </w:rPr>
        <w:t xml:space="preserve"> </w:t>
      </w:r>
      <w:r w:rsidR="005A7152">
        <w:rPr>
          <w:lang w:val="de-DE"/>
        </w:rPr>
        <w:t xml:space="preserve">es </w:t>
      </w:r>
      <w:r w:rsidRPr="00720B1A">
        <w:rPr>
          <w:lang w:val="de-DE"/>
        </w:rPr>
        <w:t>Versicherten, da nie selber erlebt, schwer f</w:t>
      </w:r>
      <w:r w:rsidR="005A7152">
        <w:rPr>
          <w:lang w:val="de-DE"/>
        </w:rPr>
        <w:t>ä</w:t>
      </w:r>
      <w:r w:rsidRPr="00720B1A">
        <w:rPr>
          <w:lang w:val="de-DE"/>
        </w:rPr>
        <w:t>ll</w:t>
      </w:r>
      <w:r w:rsidR="005A7152">
        <w:rPr>
          <w:lang w:val="de-DE"/>
        </w:rPr>
        <w:t>t</w:t>
      </w:r>
      <w:r w:rsidRPr="00720B1A">
        <w:rPr>
          <w:lang w:val="de-DE"/>
        </w:rPr>
        <w:t>, sich ein Leben ohne Behinderung vorzustellen</w:t>
      </w:r>
      <w:r>
        <w:rPr>
          <w:rStyle w:val="Funotenzeichen"/>
          <w:lang w:val="de-DE"/>
        </w:rPr>
        <w:footnoteReference w:id="68"/>
      </w:r>
      <w:r w:rsidR="00BF578A">
        <w:rPr>
          <w:lang w:val="de-DE"/>
        </w:rPr>
        <w:t>.</w:t>
      </w:r>
    </w:p>
    <w:p w14:paraId="4B25382A" w14:textId="77777777" w:rsidR="001906EB" w:rsidRPr="001906EB" w:rsidRDefault="001906EB" w:rsidP="001906EB">
      <w:pPr>
        <w:pStyle w:val="berschrift3"/>
        <w:rPr>
          <w:lang w:val="de-DE"/>
        </w:rPr>
      </w:pPr>
      <w:bookmarkStart w:id="36" w:name="_Toc246328763"/>
      <w:r w:rsidRPr="001906EB">
        <w:rPr>
          <w:lang w:val="de-DE"/>
        </w:rPr>
        <w:t>Validen- und Invalideneinkommen</w:t>
      </w:r>
      <w:bookmarkEnd w:id="36"/>
    </w:p>
    <w:p w14:paraId="5429153B" w14:textId="6E3FA2AE" w:rsidR="004F58DB" w:rsidRDefault="004F58DB" w:rsidP="004F58DB">
      <w:pPr>
        <w:pStyle w:val="berschrift4"/>
        <w:rPr>
          <w:lang w:val="de-DE"/>
        </w:rPr>
      </w:pPr>
      <w:bookmarkStart w:id="37" w:name="_Toc246328764"/>
      <w:r>
        <w:rPr>
          <w:lang w:val="de-DE"/>
        </w:rPr>
        <w:t>Versicherte mit Ausbildung</w:t>
      </w:r>
      <w:bookmarkEnd w:id="37"/>
    </w:p>
    <w:p w14:paraId="3683C40D" w14:textId="470B9FAF" w:rsidR="004D51E0" w:rsidRDefault="00426539" w:rsidP="00426539">
      <w:pPr>
        <w:pStyle w:val="Grundtext"/>
        <w:rPr>
          <w:lang w:val="de-DE"/>
        </w:rPr>
      </w:pPr>
      <w:r>
        <w:t xml:space="preserve">Bei Versicherten, die eine berufliche Ausbildung absolviert haben </w:t>
      </w:r>
      <w:r w:rsidR="003D7E4B">
        <w:t xml:space="preserve">und </w:t>
      </w:r>
      <w:r>
        <w:t xml:space="preserve">denen eine Erwerbstätigkeit zugemutet werden kann, </w:t>
      </w:r>
      <w:r w:rsidR="00730077">
        <w:t>bestimmt sich das Validenei</w:t>
      </w:r>
      <w:r w:rsidR="00730077">
        <w:t>n</w:t>
      </w:r>
      <w:r w:rsidR="00730077">
        <w:t>kommen nach Massgabe des mutmasslich erzielbaren Verdienstes.</w:t>
      </w:r>
      <w:r w:rsidR="000552DB">
        <w:t xml:space="preserve"> </w:t>
      </w:r>
      <w:r w:rsidR="006531E7">
        <w:t>I</w:t>
      </w:r>
      <w:r w:rsidR="00587046" w:rsidRPr="00587046">
        <w:rPr>
          <w:lang w:val="de-DE"/>
        </w:rPr>
        <w:t>m Falle eines jungen Versicherten, der am Anfang seiner beruflichen Laufbahn von e</w:t>
      </w:r>
      <w:r w:rsidR="00587046" w:rsidRPr="00587046">
        <w:rPr>
          <w:lang w:val="de-DE"/>
        </w:rPr>
        <w:t>i</w:t>
      </w:r>
      <w:r w:rsidR="00587046" w:rsidRPr="00587046">
        <w:rPr>
          <w:lang w:val="de-DE"/>
        </w:rPr>
        <w:t xml:space="preserve">nem versicherten Ereignis betroffen wurde, </w:t>
      </w:r>
      <w:r w:rsidR="006531E7">
        <w:rPr>
          <w:lang w:val="de-DE"/>
        </w:rPr>
        <w:t xml:space="preserve">entzieht sich </w:t>
      </w:r>
      <w:r w:rsidR="00823EB0">
        <w:rPr>
          <w:lang w:val="de-DE"/>
        </w:rPr>
        <w:t>die hypothe</w:t>
      </w:r>
      <w:r w:rsidR="00587046" w:rsidRPr="00587046">
        <w:rPr>
          <w:lang w:val="de-DE"/>
        </w:rPr>
        <w:t>tische Ta</w:t>
      </w:r>
      <w:r w:rsidR="00587046" w:rsidRPr="00587046">
        <w:rPr>
          <w:lang w:val="de-DE"/>
        </w:rPr>
        <w:t>t</w:t>
      </w:r>
      <w:r w:rsidR="00587046" w:rsidRPr="00587046">
        <w:rPr>
          <w:lang w:val="de-DE"/>
        </w:rPr>
        <w:t xml:space="preserve">sache einer Jahre später im Gesundheitsfall ausgeübten bestimmten Tätigkeit naturgemäss einem strikten Beweis, </w:t>
      </w:r>
      <w:r w:rsidR="006531E7">
        <w:rPr>
          <w:lang w:val="de-DE"/>
        </w:rPr>
        <w:t>weshalb</w:t>
      </w:r>
      <w:r w:rsidR="00587046" w:rsidRPr="00587046">
        <w:rPr>
          <w:lang w:val="de-DE"/>
        </w:rPr>
        <w:t xml:space="preserve"> die Anforderungen an den massg</w:t>
      </w:r>
      <w:r w:rsidR="00587046" w:rsidRPr="00587046">
        <w:rPr>
          <w:lang w:val="de-DE"/>
        </w:rPr>
        <w:t>e</w:t>
      </w:r>
      <w:r w:rsidR="00587046" w:rsidRPr="00587046">
        <w:rPr>
          <w:lang w:val="de-DE"/>
        </w:rPr>
        <w:t>benden Be</w:t>
      </w:r>
      <w:r w:rsidR="00823EB0">
        <w:rPr>
          <w:lang w:val="de-DE"/>
        </w:rPr>
        <w:t>weisgrad der überwiegenden Wahr</w:t>
      </w:r>
      <w:r w:rsidR="00587046" w:rsidRPr="00587046">
        <w:rPr>
          <w:lang w:val="de-DE"/>
        </w:rPr>
        <w:t>scheinlichkeit nicht überspannt werden dürfen</w:t>
      </w:r>
      <w:r w:rsidR="00587046">
        <w:rPr>
          <w:rStyle w:val="Funotenzeichen"/>
          <w:lang w:val="de-DE"/>
        </w:rPr>
        <w:footnoteReference w:id="69"/>
      </w:r>
      <w:r w:rsidR="00BF578A">
        <w:rPr>
          <w:lang w:val="de-DE"/>
        </w:rPr>
        <w:t>.</w:t>
      </w:r>
      <w:r w:rsidR="00587046">
        <w:rPr>
          <w:lang w:val="de-DE"/>
        </w:rPr>
        <w:t xml:space="preserve"> </w:t>
      </w:r>
    </w:p>
    <w:p w14:paraId="1D4DCB07" w14:textId="7BE1CBED" w:rsidR="000552DB" w:rsidRDefault="004D51E0" w:rsidP="00426539">
      <w:pPr>
        <w:pStyle w:val="Grundtext"/>
        <w:rPr>
          <w:lang w:val="de-DE"/>
        </w:rPr>
      </w:pPr>
      <w:r>
        <w:rPr>
          <w:lang w:val="de-DE"/>
        </w:rPr>
        <w:t>Die Annahme eines beruflichen Aufstiegs setzt jedoch</w:t>
      </w:r>
      <w:r w:rsidRPr="004D51E0">
        <w:rPr>
          <w:lang w:val="de-DE"/>
        </w:rPr>
        <w:t xml:space="preserve"> konkrete Anhaltspunkte</w:t>
      </w:r>
      <w:r w:rsidR="00933A83">
        <w:rPr>
          <w:lang w:val="de-DE"/>
        </w:rPr>
        <w:t xml:space="preserve"> </w:t>
      </w:r>
      <w:r>
        <w:rPr>
          <w:lang w:val="de-DE"/>
        </w:rPr>
        <w:t xml:space="preserve">voraus. Blosse </w:t>
      </w:r>
      <w:r w:rsidRPr="004D51E0">
        <w:rPr>
          <w:lang w:val="de-DE"/>
        </w:rPr>
        <w:t>Absichtserklärungen genügen dazu nicht; vielmehr muss die Absicht, beruflich weiterzukommen, bereits durch konkrete Schritte wie Kursb</w:t>
      </w:r>
      <w:r w:rsidRPr="004D51E0">
        <w:rPr>
          <w:lang w:val="de-DE"/>
        </w:rPr>
        <w:t>e</w:t>
      </w:r>
      <w:r w:rsidRPr="004D51E0">
        <w:rPr>
          <w:lang w:val="de-DE"/>
        </w:rPr>
        <w:t>suche, Aufnahme eines Studiums usw. kundgetan worden sein</w:t>
      </w:r>
      <w:r>
        <w:rPr>
          <w:rStyle w:val="Funotenzeichen"/>
          <w:lang w:val="de-DE"/>
        </w:rPr>
        <w:footnoteReference w:id="70"/>
      </w:r>
      <w:r w:rsidR="00BF578A">
        <w:rPr>
          <w:lang w:val="de-DE"/>
        </w:rPr>
        <w:t>.</w:t>
      </w:r>
      <w:r>
        <w:rPr>
          <w:lang w:val="de-DE"/>
        </w:rPr>
        <w:t xml:space="preserve"> </w:t>
      </w:r>
      <w:r w:rsidR="000552DB" w:rsidRPr="000552DB">
        <w:rPr>
          <w:lang w:val="de-DE"/>
        </w:rPr>
        <w:t>Bei einem Juri</w:t>
      </w:r>
      <w:r w:rsidR="000552DB" w:rsidRPr="000552DB">
        <w:rPr>
          <w:lang w:val="de-DE"/>
        </w:rPr>
        <w:t>s</w:t>
      </w:r>
      <w:r w:rsidR="000552DB" w:rsidRPr="000552DB">
        <w:rPr>
          <w:lang w:val="de-DE"/>
        </w:rPr>
        <w:t>ten mit Anwaltspatent kann</w:t>
      </w:r>
      <w:r w:rsidR="00587046">
        <w:rPr>
          <w:lang w:val="de-DE"/>
        </w:rPr>
        <w:t xml:space="preserve"> </w:t>
      </w:r>
      <w:r w:rsidR="000552DB" w:rsidRPr="000552DB">
        <w:rPr>
          <w:lang w:val="de-DE"/>
        </w:rPr>
        <w:t>ohne konkrete Hinweise mit überwiegender Wah</w:t>
      </w:r>
      <w:r w:rsidR="000552DB" w:rsidRPr="000552DB">
        <w:rPr>
          <w:lang w:val="de-DE"/>
        </w:rPr>
        <w:t>r</w:t>
      </w:r>
      <w:r w:rsidR="000552DB" w:rsidRPr="000552DB">
        <w:rPr>
          <w:lang w:val="de-DE"/>
        </w:rPr>
        <w:t>scheinlic</w:t>
      </w:r>
      <w:r w:rsidR="00823EB0">
        <w:rPr>
          <w:lang w:val="de-DE"/>
        </w:rPr>
        <w:t>h</w:t>
      </w:r>
      <w:r w:rsidR="000552DB" w:rsidRPr="000552DB">
        <w:rPr>
          <w:lang w:val="de-DE"/>
        </w:rPr>
        <w:t>keit nicht festgestellt werden, wo er sich nach dem Erwerb des Anwaltspatents niedergelassen hätte und ob er als Wirtschaftsanwalt, zunächst als Gerichtsschreiber oder später als Richter, als Bezirksanwalt, in der Verwa</w:t>
      </w:r>
      <w:r w:rsidR="000552DB" w:rsidRPr="000552DB">
        <w:rPr>
          <w:lang w:val="de-DE"/>
        </w:rPr>
        <w:t>l</w:t>
      </w:r>
      <w:r w:rsidR="000552DB" w:rsidRPr="000552DB">
        <w:rPr>
          <w:lang w:val="de-DE"/>
        </w:rPr>
        <w:t>tung oder in einem Privatunternehmen gearbeitet oder sich sogar selbstständig gemacht hätte</w:t>
      </w:r>
      <w:r w:rsidR="00587046">
        <w:rPr>
          <w:rStyle w:val="Funotenzeichen"/>
          <w:lang w:val="de-DE"/>
        </w:rPr>
        <w:footnoteReference w:id="71"/>
      </w:r>
      <w:r w:rsidR="00BF578A">
        <w:rPr>
          <w:lang w:val="de-DE"/>
        </w:rPr>
        <w:t>.</w:t>
      </w:r>
    </w:p>
    <w:p w14:paraId="27E5D028" w14:textId="4C72A7B1" w:rsidR="00587046" w:rsidRDefault="000858F5" w:rsidP="00426539">
      <w:pPr>
        <w:pStyle w:val="Grundtext"/>
        <w:rPr>
          <w:lang w:val="de-DE"/>
        </w:rPr>
      </w:pPr>
      <w:r w:rsidRPr="000858F5">
        <w:rPr>
          <w:lang w:val="de-DE"/>
        </w:rPr>
        <w:t>Bei Werkstudenten, also Studenten, die zur Finanzierung ihres Studiums einer Erwerbstätigkeit nachgehen, wird im Bereich der</w:t>
      </w:r>
      <w:r w:rsidR="00933A83">
        <w:rPr>
          <w:lang w:val="de-DE"/>
        </w:rPr>
        <w:t xml:space="preserve"> </w:t>
      </w:r>
      <w:r w:rsidR="00587046">
        <w:rPr>
          <w:lang w:val="de-DE"/>
        </w:rPr>
        <w:t>Unfallversicherung</w:t>
      </w:r>
      <w:r w:rsidRPr="000858F5">
        <w:rPr>
          <w:lang w:val="de-DE"/>
        </w:rPr>
        <w:t xml:space="preserve"> beim Ein</w:t>
      </w:r>
      <w:r w:rsidRPr="000858F5">
        <w:rPr>
          <w:lang w:val="de-DE"/>
        </w:rPr>
        <w:softHyphen/>
      </w:r>
      <w:r w:rsidR="00823EB0">
        <w:rPr>
          <w:lang w:val="de-DE"/>
        </w:rPr>
        <w:t>kommens</w:t>
      </w:r>
      <w:r w:rsidRPr="00587046">
        <w:rPr>
          <w:lang w:val="de-DE"/>
        </w:rPr>
        <w:t>vergleich auf den im Zeitpu</w:t>
      </w:r>
      <w:r w:rsidR="007076D2">
        <w:rPr>
          <w:lang w:val="de-DE"/>
        </w:rPr>
        <w:t>n</w:t>
      </w:r>
      <w:r w:rsidRPr="00587046">
        <w:rPr>
          <w:lang w:val="de-DE"/>
        </w:rPr>
        <w:t>kt des Unfalles tatsächlich erzielten Lohn abgestellt</w:t>
      </w:r>
      <w:r w:rsidRPr="00587046">
        <w:rPr>
          <w:vertAlign w:val="superscript"/>
          <w:lang w:val="de-DE"/>
        </w:rPr>
        <w:footnoteReference w:id="72"/>
      </w:r>
      <w:r w:rsidR="00BF578A">
        <w:rPr>
          <w:lang w:val="de-DE"/>
        </w:rPr>
        <w:t>.</w:t>
      </w:r>
      <w:r w:rsidRPr="00587046">
        <w:rPr>
          <w:lang w:val="de-DE"/>
        </w:rPr>
        <w:t xml:space="preserve"> </w:t>
      </w:r>
      <w:r w:rsidR="00823EB0">
        <w:rPr>
          <w:lang w:val="de-DE"/>
        </w:rPr>
        <w:t>Eine Besser</w:t>
      </w:r>
      <w:r w:rsidRPr="000858F5">
        <w:rPr>
          <w:lang w:val="de-DE"/>
        </w:rPr>
        <w:t xml:space="preserve">stellung erfahren lediglich die </w:t>
      </w:r>
      <w:r w:rsidR="00587046">
        <w:rPr>
          <w:rFonts w:ascii="Optima" w:hAnsi="Optima"/>
          <w:lang w:val="de-DE"/>
        </w:rPr>
        <w:t>«</w:t>
      </w:r>
      <w:r w:rsidRPr="000858F5">
        <w:rPr>
          <w:lang w:val="de-DE"/>
        </w:rPr>
        <w:t>Werkstudenten</w:t>
      </w:r>
      <w:r w:rsidR="00587046">
        <w:rPr>
          <w:rFonts w:ascii="Optima" w:hAnsi="Optima"/>
          <w:lang w:val="de-DE"/>
        </w:rPr>
        <w:t>»</w:t>
      </w:r>
      <w:r w:rsidRPr="000858F5">
        <w:rPr>
          <w:lang w:val="de-DE"/>
        </w:rPr>
        <w:t xml:space="preserve">, die im Familienbetrieb unentgeltlich mitarbeiten. Gemäss Art. 22 Abs. 2 </w:t>
      </w:r>
      <w:r w:rsidR="00823EB0">
        <w:rPr>
          <w:lang w:val="de-DE"/>
        </w:rPr>
        <w:t>lit. c UVV wird nicht der dekla</w:t>
      </w:r>
      <w:r w:rsidRPr="000858F5">
        <w:rPr>
          <w:lang w:val="de-DE"/>
        </w:rPr>
        <w:t>rierte AHV-Lohn, sondern der berufs- und ortsübliche Lohn herangezogen</w:t>
      </w:r>
      <w:r w:rsidRPr="000858F5">
        <w:rPr>
          <w:vertAlign w:val="superscript"/>
          <w:lang w:val="de-DE"/>
        </w:rPr>
        <w:footnoteReference w:id="73"/>
      </w:r>
      <w:r w:rsidR="00BF578A">
        <w:rPr>
          <w:lang w:val="de-DE"/>
        </w:rPr>
        <w:t>.</w:t>
      </w:r>
      <w:r w:rsidRPr="000858F5">
        <w:rPr>
          <w:lang w:val="de-DE"/>
        </w:rPr>
        <w:t xml:space="preserve"> Eine Renteninvalidität, die während des Studiums eintritt, hat deshalb regelmässig eine tiefere Invalidenrente zur Konsequenz, als sie der Ve</w:t>
      </w:r>
      <w:r w:rsidRPr="000858F5">
        <w:rPr>
          <w:lang w:val="de-DE"/>
        </w:rPr>
        <w:t>r</w:t>
      </w:r>
      <w:r w:rsidRPr="000858F5">
        <w:rPr>
          <w:lang w:val="de-DE"/>
        </w:rPr>
        <w:t>sicherte erhalten würde, wenn er nach dem Studium verunfallt bzw. erwerbsu</w:t>
      </w:r>
      <w:r w:rsidRPr="000858F5">
        <w:rPr>
          <w:lang w:val="de-DE"/>
        </w:rPr>
        <w:t>n</w:t>
      </w:r>
      <w:r w:rsidR="00823EB0">
        <w:rPr>
          <w:lang w:val="de-DE"/>
        </w:rPr>
        <w:t>fähig geworden wäre und ordent</w:t>
      </w:r>
      <w:r w:rsidRPr="000858F5">
        <w:rPr>
          <w:lang w:val="de-DE"/>
        </w:rPr>
        <w:t xml:space="preserve">lich verdient hätte. </w:t>
      </w:r>
    </w:p>
    <w:p w14:paraId="3B6F9C9A" w14:textId="7B3505F1" w:rsidR="000858F5" w:rsidRPr="00426539" w:rsidRDefault="000858F5" w:rsidP="00426539">
      <w:pPr>
        <w:pStyle w:val="Grundtext"/>
      </w:pPr>
      <w:r w:rsidRPr="000858F5">
        <w:rPr>
          <w:lang w:val="de-DE"/>
        </w:rPr>
        <w:t xml:space="preserve">Das </w:t>
      </w:r>
      <w:r w:rsidR="007076D2" w:rsidRPr="007076D2">
        <w:rPr>
          <w:lang w:val="de-DE"/>
        </w:rPr>
        <w:t>Bundesgericht</w:t>
      </w:r>
      <w:r w:rsidRPr="000858F5">
        <w:rPr>
          <w:lang w:val="de-DE"/>
        </w:rPr>
        <w:t xml:space="preserve"> hat es abgelehnt, </w:t>
      </w:r>
      <w:r w:rsidR="00682EE7">
        <w:rPr>
          <w:lang w:val="de-DE"/>
        </w:rPr>
        <w:t xml:space="preserve">das tiefe Valideneinkommen durch </w:t>
      </w:r>
      <w:r w:rsidRPr="000858F5">
        <w:rPr>
          <w:lang w:val="de-DE"/>
        </w:rPr>
        <w:t xml:space="preserve">eine Aufwertung </w:t>
      </w:r>
      <w:r w:rsidR="00682EE7">
        <w:rPr>
          <w:lang w:val="de-DE"/>
        </w:rPr>
        <w:t xml:space="preserve">des versicherten Verdienstes </w:t>
      </w:r>
      <w:r w:rsidRPr="000858F5">
        <w:rPr>
          <w:lang w:val="de-DE"/>
        </w:rPr>
        <w:t xml:space="preserve">gestützt auf Art. 24 Abs. 3 UVV </w:t>
      </w:r>
      <w:r w:rsidR="00682EE7">
        <w:rPr>
          <w:lang w:val="de-DE"/>
        </w:rPr>
        <w:t>zu korrigieren</w:t>
      </w:r>
      <w:r w:rsidRPr="000858F5">
        <w:rPr>
          <w:vertAlign w:val="superscript"/>
          <w:lang w:val="de-DE"/>
        </w:rPr>
        <w:footnoteReference w:id="74"/>
      </w:r>
      <w:r w:rsidR="00BF578A">
        <w:rPr>
          <w:lang w:val="de-DE"/>
        </w:rPr>
        <w:t>.</w:t>
      </w:r>
      <w:r w:rsidR="00804553">
        <w:rPr>
          <w:lang w:val="de-DE"/>
        </w:rPr>
        <w:t xml:space="preserve"> Im Fall eines Jus-Studen</w:t>
      </w:r>
      <w:r w:rsidRPr="000858F5">
        <w:rPr>
          <w:lang w:val="de-DE"/>
        </w:rPr>
        <w:t>ten, der mit einem 40</w:t>
      </w:r>
      <w:r w:rsidR="00E40385">
        <w:rPr>
          <w:lang w:val="de-DE"/>
        </w:rPr>
        <w:t xml:space="preserve"> </w:t>
      </w:r>
      <w:r w:rsidRPr="000858F5">
        <w:rPr>
          <w:lang w:val="de-DE"/>
        </w:rPr>
        <w:t xml:space="preserve">%-Teilzeitpensum für eine Lokalfernseh-Unternehmung tätig war und pro Jahr rund </w:t>
      </w:r>
      <w:r w:rsidR="00197690">
        <w:rPr>
          <w:lang w:val="de-DE"/>
        </w:rPr>
        <w:t>CHF</w:t>
      </w:r>
      <w:r w:rsidRPr="000858F5">
        <w:rPr>
          <w:lang w:val="de-DE"/>
        </w:rPr>
        <w:t xml:space="preserve"> 19 000.– verdiente</w:t>
      </w:r>
      <w:r w:rsidRPr="000858F5">
        <w:rPr>
          <w:vertAlign w:val="superscript"/>
          <w:lang w:val="de-DE"/>
        </w:rPr>
        <w:footnoteReference w:id="75"/>
      </w:r>
      <w:r w:rsidR="00BF578A">
        <w:rPr>
          <w:lang w:val="de-DE"/>
        </w:rPr>
        <w:t>,</w:t>
      </w:r>
      <w:r w:rsidRPr="000858F5">
        <w:rPr>
          <w:lang w:val="de-DE"/>
        </w:rPr>
        <w:t xml:space="preserve"> haben die Luzerner Richter – nicht zuletzt im Hinblick auf den Schupperlehrlingfall</w:t>
      </w:r>
      <w:r w:rsidRPr="000858F5">
        <w:rPr>
          <w:vertAlign w:val="superscript"/>
          <w:lang w:val="de-DE"/>
        </w:rPr>
        <w:footnoteReference w:id="76"/>
      </w:r>
      <w:r w:rsidRPr="000858F5">
        <w:rPr>
          <w:lang w:val="de-DE"/>
        </w:rPr>
        <w:t xml:space="preserve"> – ihre Praxis bestätigt und festgehalten, dass die gesetzl</w:t>
      </w:r>
      <w:r w:rsidRPr="000858F5">
        <w:rPr>
          <w:lang w:val="de-DE"/>
        </w:rPr>
        <w:t>i</w:t>
      </w:r>
      <w:r w:rsidRPr="000858F5">
        <w:rPr>
          <w:lang w:val="de-DE"/>
        </w:rPr>
        <w:t>che Regelung weder gegen das Gleichheitsgebot noch gegen das Diskrimini</w:t>
      </w:r>
      <w:r w:rsidRPr="000858F5">
        <w:rPr>
          <w:lang w:val="de-DE"/>
        </w:rPr>
        <w:t>e</w:t>
      </w:r>
      <w:r w:rsidRPr="000858F5">
        <w:rPr>
          <w:lang w:val="de-DE"/>
        </w:rPr>
        <w:t>rungsverbot verstosse</w:t>
      </w:r>
      <w:r w:rsidRPr="000858F5">
        <w:rPr>
          <w:vertAlign w:val="superscript"/>
          <w:lang w:val="de-DE"/>
        </w:rPr>
        <w:footnoteReference w:id="77"/>
      </w:r>
      <w:r w:rsidR="00BF578A">
        <w:rPr>
          <w:lang w:val="de-DE"/>
        </w:rPr>
        <w:t>.</w:t>
      </w:r>
      <w:r w:rsidRPr="000858F5">
        <w:rPr>
          <w:lang w:val="de-DE"/>
        </w:rPr>
        <w:t xml:space="preserve"> Weiter wurde auch das Vorliegen einer echten Lücke verneint; es sei Sache des Verordnungs- bzw. allenfalls des Gesetzgebers, auf Grund einer Analyse der gesamten Problematik befriedigende Lösungen zu era</w:t>
      </w:r>
      <w:r w:rsidRPr="000858F5">
        <w:rPr>
          <w:lang w:val="de-DE"/>
        </w:rPr>
        <w:t>r</w:t>
      </w:r>
      <w:r w:rsidRPr="000858F5">
        <w:rPr>
          <w:lang w:val="de-DE"/>
        </w:rPr>
        <w:t>beiten und Mängel der heutigen Regelung für versch</w:t>
      </w:r>
      <w:r w:rsidR="00823EB0">
        <w:rPr>
          <w:lang w:val="de-DE"/>
        </w:rPr>
        <w:t>iedene Versicherten</w:t>
      </w:r>
      <w:r w:rsidRPr="000858F5">
        <w:rPr>
          <w:lang w:val="de-DE"/>
        </w:rPr>
        <w:t>kate</w:t>
      </w:r>
      <w:r w:rsidRPr="000858F5">
        <w:rPr>
          <w:lang w:val="de-DE"/>
        </w:rPr>
        <w:softHyphen/>
        <w:t>gorien zu beseitigen</w:t>
      </w:r>
      <w:r w:rsidRPr="000858F5">
        <w:rPr>
          <w:vertAlign w:val="superscript"/>
          <w:lang w:val="de-DE"/>
        </w:rPr>
        <w:footnoteReference w:id="78"/>
      </w:r>
      <w:r w:rsidR="00BF578A">
        <w:rPr>
          <w:lang w:val="de-DE"/>
        </w:rPr>
        <w:t>.</w:t>
      </w:r>
    </w:p>
    <w:p w14:paraId="76CF15C9" w14:textId="67B38604" w:rsidR="001906EB" w:rsidRDefault="004F58DB" w:rsidP="004F58DB">
      <w:pPr>
        <w:pStyle w:val="berschrift4"/>
        <w:rPr>
          <w:lang w:val="de-DE"/>
        </w:rPr>
      </w:pPr>
      <w:bookmarkStart w:id="38" w:name="_Toc246328765"/>
      <w:r>
        <w:rPr>
          <w:lang w:val="de-DE"/>
        </w:rPr>
        <w:t>Versicherte ohne Ausbildung</w:t>
      </w:r>
      <w:bookmarkEnd w:id="38"/>
    </w:p>
    <w:p w14:paraId="6D2940E9" w14:textId="5F11FCEE" w:rsidR="004F58DB" w:rsidRDefault="004F58DB" w:rsidP="004F58DB">
      <w:pPr>
        <w:pStyle w:val="Grundtext"/>
        <w:rPr>
          <w:lang w:val="de-DE"/>
        </w:rPr>
      </w:pPr>
      <w:r w:rsidRPr="004F58DB">
        <w:rPr>
          <w:lang w:val="de-DE"/>
        </w:rPr>
        <w:t>Konnte d</w:t>
      </w:r>
      <w:r w:rsidR="00D85C5F">
        <w:rPr>
          <w:lang w:val="de-DE"/>
        </w:rPr>
        <w:t>er</w:t>
      </w:r>
      <w:r w:rsidRPr="004F58DB">
        <w:rPr>
          <w:lang w:val="de-DE"/>
        </w:rPr>
        <w:t xml:space="preserve"> </w:t>
      </w:r>
      <w:r w:rsidR="00D85C5F">
        <w:rPr>
          <w:lang w:val="de-DE"/>
        </w:rPr>
        <w:t>V</w:t>
      </w:r>
      <w:r w:rsidRPr="004F58DB">
        <w:rPr>
          <w:lang w:val="de-DE"/>
        </w:rPr>
        <w:t xml:space="preserve">ersicherte wegen der Invalidität keine zureichenden beruflichen Kenntnisse erwerben, so entspricht das </w:t>
      </w:r>
      <w:r w:rsidR="00D85C5F">
        <w:rPr>
          <w:lang w:val="de-DE"/>
        </w:rPr>
        <w:t>Valideneinkommen</w:t>
      </w:r>
      <w:r w:rsidR="00E31F59">
        <w:rPr>
          <w:lang w:val="de-DE"/>
        </w:rPr>
        <w:t xml:space="preserve"> gemäss Artikel 26 IVV</w:t>
      </w:r>
      <w:r w:rsidRPr="004F58DB">
        <w:rPr>
          <w:lang w:val="de-DE"/>
        </w:rPr>
        <w:t>, den folgenden nach Alter abgestuften Prozentsätzen des jährlich aktual</w:t>
      </w:r>
      <w:r w:rsidRPr="004F58DB">
        <w:rPr>
          <w:lang w:val="de-DE"/>
        </w:rPr>
        <w:t>i</w:t>
      </w:r>
      <w:r w:rsidRPr="004F58DB">
        <w:rPr>
          <w:lang w:val="de-DE"/>
        </w:rPr>
        <w:t>sierten Medianwertes gemäss der Lohnstrukturerhebung des Bundesamtes für Statistik</w:t>
      </w:r>
      <w:r>
        <w:rPr>
          <w:rStyle w:val="Funotenzeichen"/>
          <w:lang w:val="de-DE"/>
        </w:rPr>
        <w:footnoteReference w:id="79"/>
      </w:r>
      <w:r w:rsidR="00BF578A">
        <w:rPr>
          <w:lang w:val="de-DE"/>
        </w:rPr>
        <w:t>:</w:t>
      </w: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00" w:firstRow="0" w:lastRow="0" w:firstColumn="0" w:lastColumn="0" w:noHBand="0" w:noVBand="0"/>
      </w:tblPr>
      <w:tblGrid>
        <w:gridCol w:w="2604"/>
        <w:gridCol w:w="2618"/>
        <w:gridCol w:w="1514"/>
      </w:tblGrid>
      <w:tr w:rsidR="004F58DB" w:rsidRPr="004F58DB" w14:paraId="5359B6B5" w14:textId="77777777" w:rsidTr="004F58DB">
        <w:tc>
          <w:tcPr>
            <w:tcW w:w="1933" w:type="pct"/>
            <w:shd w:val="clear" w:color="auto" w:fill="FFFFFF"/>
            <w:tcMar>
              <w:top w:w="40" w:type="nil"/>
              <w:left w:w="40" w:type="nil"/>
              <w:bottom w:w="40" w:type="nil"/>
              <w:right w:w="40" w:type="nil"/>
            </w:tcMar>
          </w:tcPr>
          <w:p w14:paraId="2FF0E6A2" w14:textId="77777777" w:rsidR="004F58DB" w:rsidRPr="004F58DB" w:rsidRDefault="004F58DB" w:rsidP="004F58DB">
            <w:pPr>
              <w:pStyle w:val="Grundtext"/>
              <w:rPr>
                <w:lang w:val="de-DE"/>
              </w:rPr>
            </w:pPr>
            <w:r w:rsidRPr="004F58DB">
              <w:rPr>
                <w:lang w:val="de-DE"/>
              </w:rPr>
              <w:t>Nach Vollendung von … Altersjahren</w:t>
            </w:r>
          </w:p>
        </w:tc>
        <w:tc>
          <w:tcPr>
            <w:tcW w:w="1943" w:type="pct"/>
            <w:shd w:val="clear" w:color="auto" w:fill="FFFFFF"/>
            <w:tcMar>
              <w:top w:w="40" w:type="nil"/>
              <w:left w:w="40" w:type="nil"/>
              <w:bottom w:w="40" w:type="nil"/>
              <w:right w:w="40" w:type="nil"/>
            </w:tcMar>
          </w:tcPr>
          <w:p w14:paraId="47CC961D" w14:textId="77777777" w:rsidR="004F58DB" w:rsidRPr="004F58DB" w:rsidRDefault="004F58DB" w:rsidP="004F58DB">
            <w:pPr>
              <w:pStyle w:val="Grundtext"/>
              <w:rPr>
                <w:lang w:val="de-DE"/>
              </w:rPr>
            </w:pPr>
            <w:r w:rsidRPr="004F58DB">
              <w:rPr>
                <w:lang w:val="de-DE"/>
              </w:rPr>
              <w:t>Vor Vollendung von … A</w:t>
            </w:r>
            <w:r w:rsidRPr="004F58DB">
              <w:rPr>
                <w:lang w:val="de-DE"/>
              </w:rPr>
              <w:t>l</w:t>
            </w:r>
            <w:r w:rsidRPr="004F58DB">
              <w:rPr>
                <w:lang w:val="de-DE"/>
              </w:rPr>
              <w:t>tersjahren</w:t>
            </w:r>
          </w:p>
        </w:tc>
        <w:tc>
          <w:tcPr>
            <w:tcW w:w="1124" w:type="pct"/>
            <w:shd w:val="clear" w:color="auto" w:fill="FFFFFF"/>
            <w:tcMar>
              <w:top w:w="40" w:type="nil"/>
              <w:left w:w="40" w:type="nil"/>
              <w:bottom w:w="40" w:type="nil"/>
              <w:right w:w="40" w:type="nil"/>
            </w:tcMar>
          </w:tcPr>
          <w:p w14:paraId="0EA7B865" w14:textId="77777777" w:rsidR="004F58DB" w:rsidRPr="004F58DB" w:rsidRDefault="004F58DB" w:rsidP="004F58DB">
            <w:pPr>
              <w:pStyle w:val="Grundtext"/>
              <w:rPr>
                <w:lang w:val="de-DE"/>
              </w:rPr>
            </w:pPr>
            <w:r w:rsidRPr="004F58DB">
              <w:rPr>
                <w:lang w:val="de-DE"/>
              </w:rPr>
              <w:t>Prozentsatz</w:t>
            </w:r>
          </w:p>
        </w:tc>
      </w:tr>
      <w:tr w:rsidR="004F58DB" w:rsidRPr="004F58DB" w14:paraId="1FB9CA4B" w14:textId="77777777" w:rsidTr="004F58DB">
        <w:tc>
          <w:tcPr>
            <w:tcW w:w="1933" w:type="pct"/>
            <w:shd w:val="clear" w:color="auto" w:fill="FFFFFF"/>
            <w:tcMar>
              <w:top w:w="40" w:type="nil"/>
              <w:left w:w="40" w:type="nil"/>
              <w:bottom w:w="40" w:type="nil"/>
              <w:right w:w="40" w:type="nil"/>
            </w:tcMar>
          </w:tcPr>
          <w:p w14:paraId="6D0D9225" w14:textId="77777777" w:rsidR="004F58DB" w:rsidRPr="004F58DB" w:rsidRDefault="004F58DB" w:rsidP="004F58DB">
            <w:pPr>
              <w:pStyle w:val="Grundtext"/>
              <w:rPr>
                <w:lang w:val="de-DE"/>
              </w:rPr>
            </w:pPr>
          </w:p>
        </w:tc>
        <w:tc>
          <w:tcPr>
            <w:tcW w:w="1943" w:type="pct"/>
            <w:shd w:val="clear" w:color="auto" w:fill="FFFFFF"/>
            <w:tcMar>
              <w:top w:w="40" w:type="nil"/>
              <w:left w:w="40" w:type="nil"/>
              <w:bottom w:w="40" w:type="nil"/>
              <w:right w:w="40" w:type="nil"/>
            </w:tcMar>
          </w:tcPr>
          <w:p w14:paraId="3CAC8C0E" w14:textId="77777777" w:rsidR="004F58DB" w:rsidRPr="004F58DB" w:rsidRDefault="004F58DB" w:rsidP="004F58DB">
            <w:pPr>
              <w:pStyle w:val="Grundtext"/>
              <w:rPr>
                <w:lang w:val="de-DE"/>
              </w:rPr>
            </w:pPr>
            <w:r w:rsidRPr="004F58DB">
              <w:rPr>
                <w:lang w:val="de-DE"/>
              </w:rPr>
              <w:t>21</w:t>
            </w:r>
          </w:p>
        </w:tc>
        <w:tc>
          <w:tcPr>
            <w:tcW w:w="1124" w:type="pct"/>
            <w:shd w:val="clear" w:color="auto" w:fill="FFFFFF"/>
            <w:tcMar>
              <w:top w:w="40" w:type="nil"/>
              <w:left w:w="40" w:type="nil"/>
              <w:bottom w:w="40" w:type="nil"/>
              <w:right w:w="40" w:type="nil"/>
            </w:tcMar>
          </w:tcPr>
          <w:p w14:paraId="4285BD3E" w14:textId="21DD6484" w:rsidR="004F58DB" w:rsidRPr="004F58DB" w:rsidRDefault="00933A83" w:rsidP="004F58DB">
            <w:pPr>
              <w:pStyle w:val="Grundtext"/>
              <w:rPr>
                <w:lang w:val="de-DE"/>
              </w:rPr>
            </w:pPr>
            <w:r>
              <w:rPr>
                <w:lang w:val="de-DE"/>
              </w:rPr>
              <w:t xml:space="preserve"> </w:t>
            </w:r>
            <w:r w:rsidR="004F58DB" w:rsidRPr="004F58DB">
              <w:rPr>
                <w:lang w:val="de-DE"/>
              </w:rPr>
              <w:t>70</w:t>
            </w:r>
          </w:p>
        </w:tc>
      </w:tr>
      <w:tr w:rsidR="004F58DB" w:rsidRPr="004F58DB" w14:paraId="4B02E47F" w14:textId="77777777" w:rsidTr="004F58DB">
        <w:tc>
          <w:tcPr>
            <w:tcW w:w="1933" w:type="pct"/>
            <w:shd w:val="clear" w:color="auto" w:fill="FFFFFF"/>
            <w:tcMar>
              <w:top w:w="40" w:type="nil"/>
              <w:left w:w="40" w:type="nil"/>
              <w:bottom w:w="40" w:type="nil"/>
              <w:right w:w="40" w:type="nil"/>
            </w:tcMar>
          </w:tcPr>
          <w:p w14:paraId="35925FC3" w14:textId="77777777" w:rsidR="004F58DB" w:rsidRPr="004F58DB" w:rsidRDefault="004F58DB" w:rsidP="004F58DB">
            <w:pPr>
              <w:pStyle w:val="Grundtext"/>
              <w:rPr>
                <w:lang w:val="de-DE"/>
              </w:rPr>
            </w:pPr>
            <w:r w:rsidRPr="004F58DB">
              <w:rPr>
                <w:lang w:val="de-DE"/>
              </w:rPr>
              <w:t>21</w:t>
            </w:r>
          </w:p>
        </w:tc>
        <w:tc>
          <w:tcPr>
            <w:tcW w:w="1943" w:type="pct"/>
            <w:shd w:val="clear" w:color="auto" w:fill="FFFFFF"/>
            <w:tcMar>
              <w:top w:w="40" w:type="nil"/>
              <w:left w:w="40" w:type="nil"/>
              <w:bottom w:w="40" w:type="nil"/>
              <w:right w:w="40" w:type="nil"/>
            </w:tcMar>
          </w:tcPr>
          <w:p w14:paraId="4B707E60" w14:textId="77777777" w:rsidR="004F58DB" w:rsidRPr="004F58DB" w:rsidRDefault="004F58DB" w:rsidP="004F58DB">
            <w:pPr>
              <w:pStyle w:val="Grundtext"/>
              <w:rPr>
                <w:lang w:val="de-DE"/>
              </w:rPr>
            </w:pPr>
            <w:r w:rsidRPr="004F58DB">
              <w:rPr>
                <w:lang w:val="de-DE"/>
              </w:rPr>
              <w:t>25</w:t>
            </w:r>
          </w:p>
        </w:tc>
        <w:tc>
          <w:tcPr>
            <w:tcW w:w="1124" w:type="pct"/>
            <w:shd w:val="clear" w:color="auto" w:fill="FFFFFF"/>
            <w:tcMar>
              <w:top w:w="40" w:type="nil"/>
              <w:left w:w="40" w:type="nil"/>
              <w:bottom w:w="40" w:type="nil"/>
              <w:right w:w="40" w:type="nil"/>
            </w:tcMar>
          </w:tcPr>
          <w:p w14:paraId="35AD0E1B" w14:textId="6FA24BCF" w:rsidR="004F58DB" w:rsidRPr="004F58DB" w:rsidRDefault="00933A83" w:rsidP="004F58DB">
            <w:pPr>
              <w:pStyle w:val="Grundtext"/>
              <w:rPr>
                <w:lang w:val="de-DE"/>
              </w:rPr>
            </w:pPr>
            <w:r>
              <w:rPr>
                <w:lang w:val="de-DE"/>
              </w:rPr>
              <w:t xml:space="preserve"> </w:t>
            </w:r>
            <w:r w:rsidR="004F58DB" w:rsidRPr="004F58DB">
              <w:rPr>
                <w:lang w:val="de-DE"/>
              </w:rPr>
              <w:t>80</w:t>
            </w:r>
          </w:p>
        </w:tc>
      </w:tr>
      <w:tr w:rsidR="004F58DB" w:rsidRPr="004F58DB" w14:paraId="689F9633" w14:textId="77777777" w:rsidTr="004F58DB">
        <w:tc>
          <w:tcPr>
            <w:tcW w:w="1933" w:type="pct"/>
            <w:shd w:val="clear" w:color="auto" w:fill="FFFFFF"/>
            <w:tcMar>
              <w:top w:w="40" w:type="nil"/>
              <w:left w:w="40" w:type="nil"/>
              <w:bottom w:w="40" w:type="nil"/>
              <w:right w:w="40" w:type="nil"/>
            </w:tcMar>
          </w:tcPr>
          <w:p w14:paraId="4904A8F0" w14:textId="77777777" w:rsidR="004F58DB" w:rsidRPr="004F58DB" w:rsidRDefault="004F58DB" w:rsidP="004F58DB">
            <w:pPr>
              <w:pStyle w:val="Grundtext"/>
              <w:rPr>
                <w:lang w:val="de-DE"/>
              </w:rPr>
            </w:pPr>
            <w:r w:rsidRPr="004F58DB">
              <w:rPr>
                <w:lang w:val="de-DE"/>
              </w:rPr>
              <w:t>25</w:t>
            </w:r>
          </w:p>
        </w:tc>
        <w:tc>
          <w:tcPr>
            <w:tcW w:w="1943" w:type="pct"/>
            <w:shd w:val="clear" w:color="auto" w:fill="FFFFFF"/>
            <w:tcMar>
              <w:top w:w="40" w:type="nil"/>
              <w:left w:w="40" w:type="nil"/>
              <w:bottom w:w="40" w:type="nil"/>
              <w:right w:w="40" w:type="nil"/>
            </w:tcMar>
          </w:tcPr>
          <w:p w14:paraId="52D1DFFE" w14:textId="77777777" w:rsidR="004F58DB" w:rsidRPr="004F58DB" w:rsidRDefault="004F58DB" w:rsidP="004F58DB">
            <w:pPr>
              <w:pStyle w:val="Grundtext"/>
              <w:rPr>
                <w:lang w:val="de-DE"/>
              </w:rPr>
            </w:pPr>
            <w:r w:rsidRPr="004F58DB">
              <w:rPr>
                <w:lang w:val="de-DE"/>
              </w:rPr>
              <w:t>30</w:t>
            </w:r>
          </w:p>
        </w:tc>
        <w:tc>
          <w:tcPr>
            <w:tcW w:w="1124" w:type="pct"/>
            <w:shd w:val="clear" w:color="auto" w:fill="FFFFFF"/>
            <w:tcMar>
              <w:top w:w="40" w:type="nil"/>
              <w:left w:w="40" w:type="nil"/>
              <w:bottom w:w="40" w:type="nil"/>
              <w:right w:w="40" w:type="nil"/>
            </w:tcMar>
          </w:tcPr>
          <w:p w14:paraId="588B0730" w14:textId="6DE0A98B" w:rsidR="004F58DB" w:rsidRPr="004F58DB" w:rsidRDefault="00933A83" w:rsidP="004F58DB">
            <w:pPr>
              <w:pStyle w:val="Grundtext"/>
              <w:rPr>
                <w:lang w:val="de-DE"/>
              </w:rPr>
            </w:pPr>
            <w:r>
              <w:rPr>
                <w:lang w:val="de-DE"/>
              </w:rPr>
              <w:t xml:space="preserve"> </w:t>
            </w:r>
            <w:r w:rsidR="004F58DB" w:rsidRPr="004F58DB">
              <w:rPr>
                <w:lang w:val="de-DE"/>
              </w:rPr>
              <w:t>90</w:t>
            </w:r>
          </w:p>
        </w:tc>
      </w:tr>
      <w:tr w:rsidR="004F58DB" w:rsidRPr="004F58DB" w14:paraId="4DD3B84B" w14:textId="77777777" w:rsidTr="004F58DB">
        <w:tc>
          <w:tcPr>
            <w:tcW w:w="1933" w:type="pct"/>
            <w:shd w:val="clear" w:color="auto" w:fill="FFFFFF"/>
            <w:tcMar>
              <w:top w:w="40" w:type="nil"/>
              <w:left w:w="40" w:type="nil"/>
              <w:bottom w:w="40" w:type="nil"/>
              <w:right w:w="40" w:type="nil"/>
            </w:tcMar>
          </w:tcPr>
          <w:p w14:paraId="4D521398" w14:textId="77777777" w:rsidR="004F58DB" w:rsidRPr="004F58DB" w:rsidRDefault="004F58DB" w:rsidP="004F58DB">
            <w:pPr>
              <w:pStyle w:val="Grundtext"/>
              <w:rPr>
                <w:lang w:val="de-DE"/>
              </w:rPr>
            </w:pPr>
            <w:r w:rsidRPr="004F58DB">
              <w:rPr>
                <w:lang w:val="de-DE"/>
              </w:rPr>
              <w:t>30</w:t>
            </w:r>
          </w:p>
        </w:tc>
        <w:tc>
          <w:tcPr>
            <w:tcW w:w="1943" w:type="pct"/>
            <w:shd w:val="clear" w:color="auto" w:fill="FFFFFF"/>
            <w:tcMar>
              <w:top w:w="40" w:type="nil"/>
              <w:left w:w="40" w:type="nil"/>
              <w:bottom w:w="40" w:type="nil"/>
              <w:right w:w="40" w:type="nil"/>
            </w:tcMar>
          </w:tcPr>
          <w:p w14:paraId="60C68BBA" w14:textId="77777777" w:rsidR="004F58DB" w:rsidRPr="004F58DB" w:rsidRDefault="004F58DB" w:rsidP="004F58DB">
            <w:pPr>
              <w:pStyle w:val="Grundtext"/>
              <w:rPr>
                <w:lang w:val="de-DE"/>
              </w:rPr>
            </w:pPr>
          </w:p>
        </w:tc>
        <w:tc>
          <w:tcPr>
            <w:tcW w:w="1124" w:type="pct"/>
            <w:shd w:val="clear" w:color="auto" w:fill="FFFFFF"/>
            <w:tcMar>
              <w:top w:w="40" w:type="nil"/>
              <w:left w:w="40" w:type="nil"/>
              <w:bottom w:w="40" w:type="nil"/>
              <w:right w:w="40" w:type="nil"/>
            </w:tcMar>
          </w:tcPr>
          <w:p w14:paraId="3BEB52C9" w14:textId="11845C63" w:rsidR="004F58DB" w:rsidRPr="004F58DB" w:rsidRDefault="004F58DB" w:rsidP="004F58DB">
            <w:pPr>
              <w:pStyle w:val="Grundtext"/>
              <w:rPr>
                <w:lang w:val="de-DE"/>
              </w:rPr>
            </w:pPr>
            <w:r w:rsidRPr="004F58DB">
              <w:rPr>
                <w:lang w:val="de-DE"/>
              </w:rPr>
              <w:t>100</w:t>
            </w:r>
          </w:p>
        </w:tc>
      </w:tr>
    </w:tbl>
    <w:p w14:paraId="2E8340F1" w14:textId="71BA8F13" w:rsidR="008D65E1" w:rsidRDefault="00BA0D4C" w:rsidP="004F5D3A">
      <w:pPr>
        <w:pStyle w:val="Grundtext"/>
        <w:rPr>
          <w:lang w:val="de-DE"/>
        </w:rPr>
      </w:pPr>
      <w:r>
        <w:rPr>
          <w:lang w:val="de-DE"/>
        </w:rPr>
        <w:t>Eine fehlende Motivation und der Umstand, sich mit bescheiden entlöhnten e</w:t>
      </w:r>
      <w:r>
        <w:rPr>
          <w:lang w:val="de-DE"/>
        </w:rPr>
        <w:t>r</w:t>
      </w:r>
      <w:r>
        <w:rPr>
          <w:lang w:val="de-DE"/>
        </w:rPr>
        <w:t>werblichen Tätigkeiten zufriedengegeben zu haben, stellen keine behinderung</w:t>
      </w:r>
      <w:r>
        <w:rPr>
          <w:lang w:val="de-DE"/>
        </w:rPr>
        <w:t>s</w:t>
      </w:r>
      <w:r>
        <w:rPr>
          <w:lang w:val="de-DE"/>
        </w:rPr>
        <w:t>bedingte Beeinträchtigung der beruflichen Ausbildung dar</w:t>
      </w:r>
      <w:r>
        <w:rPr>
          <w:rStyle w:val="Funotenzeichen"/>
          <w:lang w:val="de-DE"/>
        </w:rPr>
        <w:footnoteReference w:id="80"/>
      </w:r>
      <w:r w:rsidR="00BF578A">
        <w:rPr>
          <w:lang w:val="de-DE"/>
        </w:rPr>
        <w:t>.</w:t>
      </w:r>
      <w:r>
        <w:rPr>
          <w:lang w:val="de-DE"/>
        </w:rPr>
        <w:t xml:space="preserve"> </w:t>
      </w:r>
      <w:r w:rsidR="00904C21" w:rsidRPr="00904C21">
        <w:rPr>
          <w:lang w:val="de-DE"/>
        </w:rPr>
        <w:t xml:space="preserve">Ein </w:t>
      </w:r>
      <w:r w:rsidR="00904C21">
        <w:rPr>
          <w:lang w:val="de-DE"/>
        </w:rPr>
        <w:t>seit der Geburt bestehender Klumpfuss</w:t>
      </w:r>
      <w:r w:rsidR="00904C21" w:rsidRPr="00904C21">
        <w:rPr>
          <w:lang w:val="de-DE"/>
        </w:rPr>
        <w:t xml:space="preserve"> schränkt die Berufswahl etwas ein, erlaubt aber noch den Besuch eines weiten Spektrums von üblichen Ausbildungs- und Lehrgängen. Eine solche Versicherte vermag sich daher, ohne invaliditätsbedingte Erschwe</w:t>
      </w:r>
      <w:r w:rsidR="00904C21" w:rsidRPr="00904C21">
        <w:rPr>
          <w:lang w:val="de-DE"/>
        </w:rPr>
        <w:t>r</w:t>
      </w:r>
      <w:r w:rsidR="00904C21" w:rsidRPr="00904C21">
        <w:rPr>
          <w:lang w:val="de-DE"/>
        </w:rPr>
        <w:t>nisse, berufliche Kenntnisse anzueignen, deren spätere Verwertung auf dem Arbeitsmarkt eine Invalidität regelmässig ausschliessen dürften</w:t>
      </w:r>
      <w:r w:rsidR="00904C21">
        <w:rPr>
          <w:rStyle w:val="Funotenzeichen"/>
          <w:lang w:val="de-DE"/>
        </w:rPr>
        <w:footnoteReference w:id="81"/>
      </w:r>
      <w:r w:rsidR="00BF578A">
        <w:rPr>
          <w:lang w:val="de-DE"/>
        </w:rPr>
        <w:t>.</w:t>
      </w:r>
      <w:r w:rsidR="00610E72">
        <w:rPr>
          <w:lang w:val="de-DE"/>
        </w:rPr>
        <w:t xml:space="preserve"> </w:t>
      </w:r>
    </w:p>
    <w:p w14:paraId="6039EE33" w14:textId="3F6DD40C" w:rsidR="004F5D3A" w:rsidRPr="004F5D3A" w:rsidRDefault="00BA0D4C" w:rsidP="004F5D3A">
      <w:pPr>
        <w:pStyle w:val="Grundtext"/>
        <w:rPr>
          <w:lang w:val="de-DE"/>
        </w:rPr>
      </w:pPr>
      <w:r>
        <w:rPr>
          <w:lang w:val="de-DE"/>
        </w:rPr>
        <w:t>Von einer behinderungsbedingten Beeinträchtigung ist demgegenüber auszug</w:t>
      </w:r>
      <w:r>
        <w:rPr>
          <w:lang w:val="de-DE"/>
        </w:rPr>
        <w:t>e</w:t>
      </w:r>
      <w:r>
        <w:rPr>
          <w:lang w:val="de-DE"/>
        </w:rPr>
        <w:t>hen, wenn der Versicherte</w:t>
      </w:r>
      <w:r w:rsidR="00767A7B">
        <w:rPr>
          <w:lang w:val="de-DE"/>
        </w:rPr>
        <w:t xml:space="preserve"> als </w:t>
      </w:r>
      <w:r w:rsidR="00767A7B" w:rsidRPr="00767A7B">
        <w:rPr>
          <w:lang w:val="de-DE"/>
        </w:rPr>
        <w:t xml:space="preserve">Frühgeburt (7. Schwangerschaftsmonat) zur Welt </w:t>
      </w:r>
      <w:r w:rsidR="00767A7B">
        <w:rPr>
          <w:lang w:val="de-DE"/>
        </w:rPr>
        <w:t xml:space="preserve">kam, </w:t>
      </w:r>
      <w:r w:rsidR="00767A7B" w:rsidRPr="00767A7B">
        <w:rPr>
          <w:lang w:val="de-DE"/>
        </w:rPr>
        <w:t>und anschliessend während 3 1⁄2 Monaten im Brutkasten</w:t>
      </w:r>
      <w:r w:rsidR="00767A7B">
        <w:rPr>
          <w:lang w:val="de-DE"/>
        </w:rPr>
        <w:t xml:space="preserve"> war und </w:t>
      </w:r>
      <w:r w:rsidR="00767A7B" w:rsidRPr="00767A7B">
        <w:rPr>
          <w:lang w:val="de-DE"/>
        </w:rPr>
        <w:t>an einer angeborenen cerebralen Schädigung und einer Sehbehinderung (Strabismus convergens)</w:t>
      </w:r>
      <w:r w:rsidR="00767A7B">
        <w:rPr>
          <w:rStyle w:val="Funotenzeichen"/>
          <w:lang w:val="de-DE"/>
        </w:rPr>
        <w:footnoteReference w:id="82"/>
      </w:r>
      <w:r w:rsidR="00767A7B">
        <w:rPr>
          <w:lang w:val="de-DE"/>
        </w:rPr>
        <w:t xml:space="preserve"> oder </w:t>
      </w:r>
      <w:r w:rsidR="004F5D3A" w:rsidRPr="004F5D3A">
        <w:rPr>
          <w:lang w:val="de-DE"/>
        </w:rPr>
        <w:t>an einem kognitiven Entwicklungsrückstand mit verzögertem Spracherwerb, einer unterdurchschnittlichen Intelligenz und leichten motor</w:t>
      </w:r>
      <w:r w:rsidR="004F5D3A" w:rsidRPr="004F5D3A">
        <w:rPr>
          <w:lang w:val="de-DE"/>
        </w:rPr>
        <w:t>i</w:t>
      </w:r>
      <w:r w:rsidR="004F5D3A" w:rsidRPr="004F5D3A">
        <w:rPr>
          <w:lang w:val="de-DE"/>
        </w:rPr>
        <w:t>schen Auffälligkeiten</w:t>
      </w:r>
      <w:r w:rsidR="004F5D3A">
        <w:rPr>
          <w:lang w:val="de-DE"/>
        </w:rPr>
        <w:t xml:space="preserve"> leidet, die es nur erlaubt haben, eine Anlehre zu absolvi</w:t>
      </w:r>
      <w:r w:rsidR="004F5D3A">
        <w:rPr>
          <w:lang w:val="de-DE"/>
        </w:rPr>
        <w:t>e</w:t>
      </w:r>
      <w:r w:rsidR="004F5D3A">
        <w:rPr>
          <w:lang w:val="de-DE"/>
        </w:rPr>
        <w:t>ren</w:t>
      </w:r>
      <w:r w:rsidR="004F5D3A">
        <w:rPr>
          <w:rStyle w:val="Funotenzeichen"/>
          <w:lang w:val="de-DE"/>
        </w:rPr>
        <w:footnoteReference w:id="83"/>
      </w:r>
      <w:r w:rsidR="000F7FF8">
        <w:rPr>
          <w:lang w:val="de-DE"/>
        </w:rPr>
        <w:t>.</w:t>
      </w:r>
    </w:p>
    <w:p w14:paraId="16BA3B93" w14:textId="2C4E46BE" w:rsidR="00AE3467" w:rsidRDefault="00E31F59" w:rsidP="004F58DB">
      <w:pPr>
        <w:pStyle w:val="Grundtext"/>
        <w:rPr>
          <w:lang w:val="de-DE"/>
        </w:rPr>
      </w:pPr>
      <w:r w:rsidRPr="00E31F59">
        <w:rPr>
          <w:lang w:val="de-DE"/>
        </w:rPr>
        <w:t>Nach der Rechtsprechung schliesst</w:t>
      </w:r>
      <w:r>
        <w:rPr>
          <w:lang w:val="de-DE"/>
        </w:rPr>
        <w:t xml:space="preserve"> </w:t>
      </w:r>
      <w:r w:rsidR="003D7E4B">
        <w:rPr>
          <w:lang w:val="de-DE"/>
        </w:rPr>
        <w:t xml:space="preserve">Art. 26 IVV </w:t>
      </w:r>
      <w:r w:rsidRPr="00E31F59">
        <w:rPr>
          <w:lang w:val="de-DE"/>
        </w:rPr>
        <w:t>nicht aus, dass zur Berechnung des Valideneinkommens auf das Einkommen eines bestimmten Berufs abgestellt wird. Voraussetzung sind eindeutige Anhaltspunkte dafür, dass die versicherte Person ohne gesundheitliche Beeinträchtigung den betreffenden Beruf erlernt hätte</w:t>
      </w:r>
      <w:r>
        <w:rPr>
          <w:rStyle w:val="Funotenzeichen"/>
          <w:lang w:val="de-DE"/>
        </w:rPr>
        <w:footnoteReference w:id="84"/>
      </w:r>
      <w:r w:rsidRPr="00E31F59">
        <w:rPr>
          <w:lang w:val="de-DE"/>
        </w:rPr>
        <w:t>.</w:t>
      </w:r>
      <w:r w:rsidR="0013685C">
        <w:rPr>
          <w:lang w:val="de-DE"/>
        </w:rPr>
        <w:t xml:space="preserve"> Solche </w:t>
      </w:r>
      <w:r w:rsidR="00C4551D">
        <w:rPr>
          <w:lang w:val="de-DE"/>
        </w:rPr>
        <w:t xml:space="preserve">eindeutigen </w:t>
      </w:r>
      <w:r w:rsidR="0013685C">
        <w:rPr>
          <w:lang w:val="de-DE"/>
        </w:rPr>
        <w:t>Anhaltspunkte</w:t>
      </w:r>
      <w:r w:rsidR="00C4551D">
        <w:rPr>
          <w:lang w:val="de-DE"/>
        </w:rPr>
        <w:t xml:space="preserve"> </w:t>
      </w:r>
      <w:r w:rsidR="0013685C">
        <w:rPr>
          <w:lang w:val="de-DE"/>
        </w:rPr>
        <w:t>fehlen bei einer sechzehnjährigen Versicherten</w:t>
      </w:r>
      <w:r w:rsidR="00C4551D">
        <w:rPr>
          <w:lang w:val="de-DE"/>
        </w:rPr>
        <w:t>, die im Unfallzeitpunkt die Integrationsklasse für ausländische Kinder bzw. später die Berufswahlschule besuchte, wo sie ein Berufseinstieg</w:t>
      </w:r>
      <w:r w:rsidR="00C4551D">
        <w:rPr>
          <w:lang w:val="de-DE"/>
        </w:rPr>
        <w:t>s</w:t>
      </w:r>
      <w:r w:rsidR="00C4551D">
        <w:rPr>
          <w:lang w:val="de-DE"/>
        </w:rPr>
        <w:t>jahr mit gleichzeitigem Praktikum in einem Restaurantbetrieb absolvierte. In einem solchen Fall ist die Annahme einer Ausbildung zur Pflegeassistentin wahrscheinlicher als diejenige zur diplomierten Krankenschwester</w:t>
      </w:r>
      <w:r w:rsidR="00C4551D">
        <w:rPr>
          <w:rStyle w:val="Funotenzeichen"/>
          <w:lang w:val="de-DE"/>
        </w:rPr>
        <w:footnoteReference w:id="85"/>
      </w:r>
      <w:r w:rsidR="000F7FF8">
        <w:rPr>
          <w:lang w:val="de-DE"/>
        </w:rPr>
        <w:t>.</w:t>
      </w:r>
    </w:p>
    <w:p w14:paraId="145A7F3C" w14:textId="6D65712C" w:rsidR="004F58DB" w:rsidRDefault="004F58DB" w:rsidP="004F58DB">
      <w:pPr>
        <w:pStyle w:val="berschrift4"/>
      </w:pPr>
      <w:bookmarkStart w:id="41" w:name="_Toc246328766"/>
      <w:r>
        <w:t>In Ausbildung begriffene Versicherte</w:t>
      </w:r>
      <w:bookmarkEnd w:id="41"/>
    </w:p>
    <w:p w14:paraId="62AC1557" w14:textId="3F4C8B57" w:rsidR="004F58DB" w:rsidRPr="004F58DB" w:rsidRDefault="004F58DB" w:rsidP="004F58DB">
      <w:pPr>
        <w:pStyle w:val="Grundtext"/>
      </w:pPr>
      <w:r w:rsidRPr="004F58DB">
        <w:rPr>
          <w:lang w:val="de-DE"/>
        </w:rPr>
        <w:t>Konnte der Versicherte wegen der Invalidität eine begonnene berufliche Ausbi</w:t>
      </w:r>
      <w:r w:rsidRPr="004F58DB">
        <w:rPr>
          <w:lang w:val="de-DE"/>
        </w:rPr>
        <w:t>l</w:t>
      </w:r>
      <w:r w:rsidRPr="004F58DB">
        <w:rPr>
          <w:lang w:val="de-DE"/>
        </w:rPr>
        <w:t>dung nicht abschliessen</w:t>
      </w:r>
      <w:r w:rsidR="00BD1CCB">
        <w:rPr>
          <w:lang w:val="de-DE"/>
        </w:rPr>
        <w:t>, ist ihm</w:t>
      </w:r>
      <w:r w:rsidR="00BD1CCB" w:rsidRPr="00BD1CCB">
        <w:rPr>
          <w:lang w:val="de-DE"/>
        </w:rPr>
        <w:t xml:space="preserve"> </w:t>
      </w:r>
      <w:r w:rsidR="00BD1CCB" w:rsidRPr="004F58DB">
        <w:rPr>
          <w:lang w:val="de-DE"/>
        </w:rPr>
        <w:t>die Aufnahme einer Erwerbstätigkeit</w:t>
      </w:r>
      <w:r w:rsidR="00BD1CCB">
        <w:rPr>
          <w:lang w:val="de-DE"/>
        </w:rPr>
        <w:t xml:space="preserve"> aber z</w:t>
      </w:r>
      <w:r w:rsidR="00BD1CCB">
        <w:rPr>
          <w:lang w:val="de-DE"/>
        </w:rPr>
        <w:t>u</w:t>
      </w:r>
      <w:r w:rsidR="00BD1CCB">
        <w:rPr>
          <w:lang w:val="de-DE"/>
        </w:rPr>
        <w:t>mutbar</w:t>
      </w:r>
      <w:r w:rsidRPr="004F58DB">
        <w:rPr>
          <w:lang w:val="de-DE"/>
        </w:rPr>
        <w:t xml:space="preserve">, so entspricht das </w:t>
      </w:r>
      <w:r w:rsidR="00BD1CCB">
        <w:rPr>
          <w:lang w:val="de-DE"/>
        </w:rPr>
        <w:t>Valideneinkommen</w:t>
      </w:r>
      <w:r w:rsidRPr="004F58DB">
        <w:rPr>
          <w:lang w:val="de-DE"/>
        </w:rPr>
        <w:t xml:space="preserve"> dem durchschnittlichen Einko</w:t>
      </w:r>
      <w:r w:rsidRPr="004F58DB">
        <w:rPr>
          <w:lang w:val="de-DE"/>
        </w:rPr>
        <w:t>m</w:t>
      </w:r>
      <w:r w:rsidRPr="004F58DB">
        <w:rPr>
          <w:lang w:val="de-DE"/>
        </w:rPr>
        <w:t>men eines Erwerbstätigen im Beruf, für den die Ausbildung begonnen wurde</w:t>
      </w:r>
      <w:r>
        <w:rPr>
          <w:rStyle w:val="Funotenzeichen"/>
          <w:lang w:val="de-DE"/>
        </w:rPr>
        <w:footnoteReference w:id="86"/>
      </w:r>
      <w:r w:rsidR="000F7FF8">
        <w:rPr>
          <w:lang w:val="de-DE"/>
        </w:rPr>
        <w:t>.</w:t>
      </w:r>
      <w:r w:rsidR="00933A83">
        <w:rPr>
          <w:lang w:val="de-DE"/>
        </w:rPr>
        <w:t xml:space="preserve"> </w:t>
      </w:r>
    </w:p>
    <w:p w14:paraId="0183BCA1" w14:textId="77777777" w:rsidR="001906EB" w:rsidRDefault="001906EB" w:rsidP="001906EB">
      <w:pPr>
        <w:pStyle w:val="berschrift3"/>
        <w:rPr>
          <w:lang w:val="de-DE"/>
        </w:rPr>
      </w:pPr>
      <w:bookmarkStart w:id="42" w:name="_Toc246328767"/>
      <w:r w:rsidRPr="001906EB">
        <w:rPr>
          <w:lang w:val="de-DE"/>
        </w:rPr>
        <w:t>Höhe der Invalidenrente</w:t>
      </w:r>
      <w:bookmarkEnd w:id="42"/>
    </w:p>
    <w:p w14:paraId="1A144D6A" w14:textId="2019C194" w:rsidR="00AB50D6" w:rsidRPr="00AB50D6" w:rsidRDefault="00AB50D6" w:rsidP="00AB50D6">
      <w:pPr>
        <w:pStyle w:val="berschrift4"/>
      </w:pPr>
      <w:bookmarkStart w:id="43" w:name="_Toc246328768"/>
      <w:r>
        <w:t>Invalidenversicherung</w:t>
      </w:r>
      <w:bookmarkEnd w:id="43"/>
    </w:p>
    <w:p w14:paraId="5DED2DFE" w14:textId="7C8A541D" w:rsidR="00731326" w:rsidRDefault="00935D1A" w:rsidP="001906EB">
      <w:pPr>
        <w:pStyle w:val="Grundtext"/>
        <w:rPr>
          <w:lang w:val="de-DE"/>
        </w:rPr>
      </w:pPr>
      <w:r>
        <w:rPr>
          <w:lang w:val="de-DE"/>
        </w:rPr>
        <w:t xml:space="preserve">Um eine Benachteiligung der Geburts- und Frühinvaliden zu verhindern, sieht das IVG eine Aufwertung der Rentenansätze vor. </w:t>
      </w:r>
      <w:r w:rsidR="000E2082" w:rsidRPr="000E2082">
        <w:rPr>
          <w:lang w:val="de-DE"/>
        </w:rPr>
        <w:t>Hat ein Versicherter mit vol</w:t>
      </w:r>
      <w:r w:rsidR="000E2082" w:rsidRPr="000E2082">
        <w:rPr>
          <w:lang w:val="de-DE"/>
        </w:rPr>
        <w:t>l</w:t>
      </w:r>
      <w:r w:rsidR="000E2082" w:rsidRPr="000E2082">
        <w:rPr>
          <w:lang w:val="de-DE"/>
        </w:rPr>
        <w:t>ständiger Beitragsdauer bei Eintritt der Invalidität das 25. Altersjahr noch nicht zurückgelegt, so betragen seine Invalidenrente und allfällige Zusatzrenten mi</w:t>
      </w:r>
      <w:r w:rsidR="000E2082" w:rsidRPr="000E2082">
        <w:rPr>
          <w:lang w:val="de-DE"/>
        </w:rPr>
        <w:t>n</w:t>
      </w:r>
      <w:r w:rsidR="000E2082" w:rsidRPr="000E2082">
        <w:rPr>
          <w:lang w:val="de-DE"/>
        </w:rPr>
        <w:t>destens 133</w:t>
      </w:r>
      <w:r>
        <w:rPr>
          <w:lang w:val="de-DE"/>
        </w:rPr>
        <w:t xml:space="preserve"> </w:t>
      </w:r>
      <w:r w:rsidR="000E2082" w:rsidRPr="000E2082">
        <w:rPr>
          <w:vertAlign w:val="superscript"/>
          <w:lang w:val="de-DE"/>
        </w:rPr>
        <w:t>1</w:t>
      </w:r>
      <w:r w:rsidR="000E2082" w:rsidRPr="000E2082">
        <w:rPr>
          <w:lang w:val="de-DE"/>
        </w:rPr>
        <w:t>/</w:t>
      </w:r>
      <w:r w:rsidR="000E2082" w:rsidRPr="000E2082">
        <w:rPr>
          <w:vertAlign w:val="subscript"/>
          <w:lang w:val="de-DE"/>
        </w:rPr>
        <w:t>3</w:t>
      </w:r>
      <w:r w:rsidR="000E2082" w:rsidRPr="000E2082">
        <w:rPr>
          <w:lang w:val="de-DE"/>
        </w:rPr>
        <w:t xml:space="preserve"> Prozent der Mindestansätze der zutreffenden Vollrenten</w:t>
      </w:r>
      <w:r w:rsidR="000E2082">
        <w:rPr>
          <w:rStyle w:val="Funotenzeichen"/>
          <w:lang w:val="de-DE"/>
        </w:rPr>
        <w:footnoteReference w:id="87"/>
      </w:r>
      <w:r w:rsidR="000F7FF8">
        <w:rPr>
          <w:lang w:val="de-DE"/>
        </w:rPr>
        <w:t>.</w:t>
      </w:r>
      <w:r w:rsidR="00731326">
        <w:rPr>
          <w:lang w:val="de-DE"/>
        </w:rPr>
        <w:t xml:space="preserve"> </w:t>
      </w:r>
      <w:r w:rsidR="00731326" w:rsidRPr="00731326">
        <w:rPr>
          <w:lang w:val="de-DE"/>
        </w:rPr>
        <w:t>Bei einer seit ihrer Jugend an einem invalidisierenden Gesundheitsschaden leidenden Versicherten, deren Vollzeitstudium über das vollendete 25. Altersjahr hinaus angedauert hat und die nach Abschluss ihrer erstmaligen beruflichen Ausbildung dauerhaft teilerwerbsunfähig ist, ist Art. 37 Abs. 2 IVG nur anwendbar, wenn vor Vollendung des 25. Altersjahrs infolge einer behinderungsbedingten Verz</w:t>
      </w:r>
      <w:r w:rsidR="00731326" w:rsidRPr="00731326">
        <w:rPr>
          <w:lang w:val="de-DE"/>
        </w:rPr>
        <w:t>ö</w:t>
      </w:r>
      <w:r w:rsidR="00731326" w:rsidRPr="00731326">
        <w:rPr>
          <w:lang w:val="de-DE"/>
        </w:rPr>
        <w:t>gerung in der Ausbildung der Anspruch auf eine Invalidenrente gemäss Art. 26</w:t>
      </w:r>
      <w:r w:rsidR="00731326" w:rsidRPr="00731326">
        <w:rPr>
          <w:vertAlign w:val="superscript"/>
          <w:lang w:val="de-DE"/>
        </w:rPr>
        <w:t>bis</w:t>
      </w:r>
      <w:r w:rsidR="00731326" w:rsidRPr="00731326">
        <w:rPr>
          <w:lang w:val="de-DE"/>
        </w:rPr>
        <w:t xml:space="preserve"> </w:t>
      </w:r>
      <w:r w:rsidR="00731326">
        <w:rPr>
          <w:lang w:val="de-DE"/>
        </w:rPr>
        <w:t>IVV entsteht</w:t>
      </w:r>
      <w:r w:rsidR="00731326">
        <w:rPr>
          <w:rStyle w:val="Funotenzeichen"/>
          <w:lang w:val="de-DE"/>
        </w:rPr>
        <w:footnoteReference w:id="88"/>
      </w:r>
      <w:r w:rsidR="000F7FF8">
        <w:rPr>
          <w:lang w:val="de-DE"/>
        </w:rPr>
        <w:t>.</w:t>
      </w:r>
    </w:p>
    <w:p w14:paraId="0608E211" w14:textId="1DD54712" w:rsidR="00AB50D6" w:rsidRDefault="00AB50D6" w:rsidP="00AB50D6">
      <w:pPr>
        <w:pStyle w:val="berschrift4"/>
        <w:rPr>
          <w:lang w:val="de-DE"/>
        </w:rPr>
      </w:pPr>
      <w:bookmarkStart w:id="44" w:name="_Toc246328769"/>
      <w:r>
        <w:rPr>
          <w:lang w:val="de-DE"/>
        </w:rPr>
        <w:t>Unfallversicherung</w:t>
      </w:r>
      <w:bookmarkEnd w:id="44"/>
    </w:p>
    <w:p w14:paraId="112737A7" w14:textId="289DDDEC" w:rsidR="00AB50D6" w:rsidRPr="001906EB" w:rsidRDefault="00AB50D6" w:rsidP="00AB50D6">
      <w:pPr>
        <w:pStyle w:val="Grundtext"/>
        <w:rPr>
          <w:lang w:val="de-DE"/>
        </w:rPr>
      </w:pPr>
      <w:r w:rsidRPr="00B36A4A">
        <w:rPr>
          <w:lang w:val="de-DE"/>
        </w:rPr>
        <w:t xml:space="preserve">Bezog der Versicherte wegen beruflicher Ausbildung am Tage des Unfalls nicht den Lohn eines Versicherten mit voller Leistungsfähigkeit </w:t>
      </w:r>
      <w:r w:rsidRPr="00BD1CCB">
        <w:rPr>
          <w:lang w:val="de-DE"/>
        </w:rPr>
        <w:t>derselben Berufsart, so wird der versicherte Verdienst von dem Zeitpunkt an, da er die Ausbildung abgeschlossen hätte, nach dem Lohn festgesetzt, den er im Jahr v</w:t>
      </w:r>
      <w:r w:rsidR="00823EB0">
        <w:rPr>
          <w:lang w:val="de-DE"/>
        </w:rPr>
        <w:t>or dem Unfall als voll Leistungs</w:t>
      </w:r>
      <w:r w:rsidRPr="00BD1CCB">
        <w:rPr>
          <w:lang w:val="de-DE"/>
        </w:rPr>
        <w:t>fähiger erzielt hätte</w:t>
      </w:r>
      <w:r w:rsidR="00287E6A">
        <w:rPr>
          <w:rStyle w:val="Funotenzeichen"/>
          <w:lang w:val="de-DE"/>
        </w:rPr>
        <w:footnoteReference w:id="89"/>
      </w:r>
      <w:r w:rsidR="000F7FF8">
        <w:rPr>
          <w:lang w:val="de-DE"/>
        </w:rPr>
        <w:t>.</w:t>
      </w:r>
      <w:r w:rsidRPr="00BD1CCB">
        <w:rPr>
          <w:lang w:val="de-DE"/>
        </w:rPr>
        <w:t xml:space="preserve"> </w:t>
      </w:r>
      <w:r w:rsidRPr="00B36A4A">
        <w:rPr>
          <w:lang w:val="de-DE"/>
        </w:rPr>
        <w:t>Diese Aufwertung setzt aber nach dem gesetzlichen Wortl</w:t>
      </w:r>
      <w:r w:rsidRPr="00BD1CCB">
        <w:rPr>
          <w:lang w:val="de-DE"/>
        </w:rPr>
        <w:t>aut voraus, dass das Valideneinkommen ausbildu</w:t>
      </w:r>
      <w:r w:rsidR="00823EB0">
        <w:rPr>
          <w:lang w:val="de-DE"/>
        </w:rPr>
        <w:t>ngsbedingt tiefer war. Bei Versicherten, die zwar alters</w:t>
      </w:r>
      <w:r w:rsidRPr="00BD1CCB">
        <w:rPr>
          <w:lang w:val="de-DE"/>
        </w:rPr>
        <w:t>bedingt einen im Vergleich zu and</w:t>
      </w:r>
      <w:r w:rsidRPr="00BD1CCB">
        <w:rPr>
          <w:lang w:val="de-DE"/>
        </w:rPr>
        <w:t>e</w:t>
      </w:r>
      <w:r w:rsidR="00823EB0">
        <w:rPr>
          <w:lang w:val="de-DE"/>
        </w:rPr>
        <w:t>ren Berufs</w:t>
      </w:r>
      <w:r w:rsidRPr="00BD1CCB">
        <w:rPr>
          <w:lang w:val="de-DE"/>
        </w:rPr>
        <w:t>gattungen tieferen Lohn beziehen</w:t>
      </w:r>
      <w:r w:rsidR="00823EB0">
        <w:rPr>
          <w:lang w:val="de-DE"/>
        </w:rPr>
        <w:t>, ihren Beruf aber trotz Gesundheits</w:t>
      </w:r>
      <w:r w:rsidR="00823EB0">
        <w:rPr>
          <w:lang w:val="de-DE"/>
        </w:rPr>
        <w:softHyphen/>
        <w:t>schaden ohne Ein</w:t>
      </w:r>
      <w:r w:rsidRPr="00BD1CCB">
        <w:rPr>
          <w:lang w:val="de-DE"/>
        </w:rPr>
        <w:t>schränkung ausführen können, erfolgt keine Aufwertung. Z</w:t>
      </w:r>
      <w:r w:rsidRPr="00BD1CCB">
        <w:rPr>
          <w:lang w:val="de-DE"/>
        </w:rPr>
        <w:t>u</w:t>
      </w:r>
      <w:r w:rsidRPr="00BD1CCB">
        <w:rPr>
          <w:lang w:val="de-DE"/>
        </w:rPr>
        <w:t>dem wird vorausgesetzt, dass zwischen der versicherten Tätigkeit und der Ausbildung ein Kausalzusammenhang besteht</w:t>
      </w:r>
      <w:r>
        <w:rPr>
          <w:rStyle w:val="Funotenzeichen"/>
          <w:lang w:val="de-DE"/>
        </w:rPr>
        <w:footnoteReference w:id="90"/>
      </w:r>
      <w:r w:rsidR="000F7FF8">
        <w:rPr>
          <w:lang w:val="de-DE"/>
        </w:rPr>
        <w:t>.</w:t>
      </w:r>
    </w:p>
    <w:p w14:paraId="258693C0" w14:textId="0C9414C6" w:rsidR="001906EB" w:rsidRPr="001906EB" w:rsidRDefault="001906EB" w:rsidP="001906EB">
      <w:pPr>
        <w:pStyle w:val="berschrift2"/>
        <w:rPr>
          <w:lang w:val="de-DE"/>
        </w:rPr>
      </w:pPr>
      <w:bookmarkStart w:id="45" w:name="_Toc246328770"/>
      <w:r w:rsidRPr="001906EB">
        <w:rPr>
          <w:lang w:val="de-DE"/>
        </w:rPr>
        <w:t>Hilflosenentschädigung</w:t>
      </w:r>
      <w:r w:rsidR="002C367C">
        <w:rPr>
          <w:lang w:val="de-DE"/>
        </w:rPr>
        <w:t>, Intensivpflegezuschlag</w:t>
      </w:r>
      <w:r w:rsidRPr="001906EB">
        <w:rPr>
          <w:lang w:val="de-DE"/>
        </w:rPr>
        <w:t xml:space="preserve"> und Assistenzbeitrag</w:t>
      </w:r>
      <w:bookmarkEnd w:id="45"/>
    </w:p>
    <w:p w14:paraId="21B6E6F0" w14:textId="69E4740F" w:rsidR="001906EB" w:rsidRPr="001906EB" w:rsidRDefault="002C367C" w:rsidP="001906EB">
      <w:pPr>
        <w:pStyle w:val="berschrift3"/>
        <w:rPr>
          <w:lang w:val="de-DE"/>
        </w:rPr>
      </w:pPr>
      <w:r>
        <w:rPr>
          <w:lang w:val="de-DE"/>
        </w:rPr>
        <w:t xml:space="preserve"> </w:t>
      </w:r>
      <w:bookmarkStart w:id="46" w:name="_Toc246328771"/>
      <w:r>
        <w:rPr>
          <w:lang w:val="de-DE"/>
        </w:rPr>
        <w:t>Hilflosenenentschädigung</w:t>
      </w:r>
      <w:bookmarkEnd w:id="46"/>
    </w:p>
    <w:p w14:paraId="287764CA" w14:textId="4E179C35" w:rsidR="00400C13" w:rsidRPr="00400C13" w:rsidRDefault="00400C13" w:rsidP="00400C13">
      <w:pPr>
        <w:pStyle w:val="Grundtext"/>
        <w:rPr>
          <w:lang w:val="de-DE"/>
        </w:rPr>
      </w:pPr>
      <w:r w:rsidRPr="00400C13">
        <w:rPr>
          <w:lang w:val="de-DE"/>
        </w:rPr>
        <w:t>Versicherte mit Wohnsitz und gewöhnlichem Aufenthalt in der Schweiz, die hilflos sind, haben Anspruch auf eine Hilflosenentschädigung</w:t>
      </w:r>
      <w:r w:rsidR="003F2839">
        <w:rPr>
          <w:lang w:val="de-DE"/>
        </w:rPr>
        <w:t xml:space="preserve"> der IV</w:t>
      </w:r>
      <w:r w:rsidR="003F2839">
        <w:rPr>
          <w:rStyle w:val="Funotenzeichen"/>
          <w:lang w:val="de-DE"/>
        </w:rPr>
        <w:footnoteReference w:id="91"/>
      </w:r>
      <w:r w:rsidR="000F7FF8">
        <w:rPr>
          <w:lang w:val="de-DE"/>
        </w:rPr>
        <w:t>.</w:t>
      </w:r>
      <w:r w:rsidR="003F2839">
        <w:rPr>
          <w:lang w:val="de-DE"/>
        </w:rPr>
        <w:t xml:space="preserve"> </w:t>
      </w:r>
      <w:r w:rsidRPr="00400C13">
        <w:rPr>
          <w:lang w:val="de-DE"/>
        </w:rPr>
        <w:t>Minde</w:t>
      </w:r>
      <w:r w:rsidRPr="00400C13">
        <w:rPr>
          <w:lang w:val="de-DE"/>
        </w:rPr>
        <w:t>r</w:t>
      </w:r>
      <w:r w:rsidRPr="00400C13">
        <w:rPr>
          <w:lang w:val="de-DE"/>
        </w:rPr>
        <w:t>jährige Schweizer Bürger ohne Wohnsitz in der Schweiz sind hinsichtlich der Hilflosenentschädigung den Versicherten gleichgestellt, sofern sie ihren gewöh</w:t>
      </w:r>
      <w:r w:rsidRPr="00400C13">
        <w:rPr>
          <w:lang w:val="de-DE"/>
        </w:rPr>
        <w:t>n</w:t>
      </w:r>
      <w:r w:rsidRPr="00400C13">
        <w:rPr>
          <w:lang w:val="de-DE"/>
        </w:rPr>
        <w:t>lichen Aufenthalt in der Schweiz haben</w:t>
      </w:r>
      <w:r>
        <w:rPr>
          <w:rStyle w:val="Funotenzeichen"/>
          <w:lang w:val="de-DE"/>
        </w:rPr>
        <w:footnoteReference w:id="92"/>
      </w:r>
      <w:r w:rsidR="000F7FF8">
        <w:rPr>
          <w:lang w:val="de-DE"/>
        </w:rPr>
        <w:t>.</w:t>
      </w:r>
    </w:p>
    <w:p w14:paraId="7501DA01" w14:textId="6AE7E209" w:rsidR="002C367C" w:rsidRPr="002C367C" w:rsidRDefault="00400C13" w:rsidP="002C367C">
      <w:pPr>
        <w:pStyle w:val="Grundtext"/>
        <w:rPr>
          <w:lang w:val="de-DE"/>
        </w:rPr>
      </w:pPr>
      <w:r w:rsidRPr="00400C13">
        <w:rPr>
          <w:lang w:val="de-DE"/>
        </w:rPr>
        <w:t>Anspruch auf eine Hilflosenentschädigung haben auch minderjährige</w:t>
      </w:r>
      <w:r w:rsidR="00FD0345">
        <w:rPr>
          <w:lang w:val="de-DE"/>
        </w:rPr>
        <w:t xml:space="preserve"> Ausländer</w:t>
      </w:r>
      <w:r w:rsidRPr="00400C13">
        <w:rPr>
          <w:lang w:val="de-DE"/>
        </w:rPr>
        <w:t>, sofern sie die Voraussetzungen von Artikel 9 Absatz 3 erfüllen</w:t>
      </w:r>
      <w:r w:rsidR="00DD7E64">
        <w:rPr>
          <w:rStyle w:val="Funotenzeichen"/>
          <w:lang w:val="de-DE"/>
        </w:rPr>
        <w:footnoteReference w:id="93"/>
      </w:r>
      <w:r w:rsidRPr="00400C13">
        <w:rPr>
          <w:lang w:val="de-DE"/>
        </w:rPr>
        <w:t>.</w:t>
      </w:r>
      <w:r w:rsidR="002C367C">
        <w:rPr>
          <w:lang w:val="de-DE"/>
        </w:rPr>
        <w:t xml:space="preserve"> </w:t>
      </w:r>
      <w:r w:rsidR="002C367C" w:rsidRPr="002C367C">
        <w:rPr>
          <w:lang w:val="de-DE"/>
        </w:rPr>
        <w:t>Minderjährige ausländische Staatsangehörige ohne Wohnsitz in der Schweiz haben Anspruch auf eine Hilflosenentschädigung, wenn:</w:t>
      </w:r>
    </w:p>
    <w:p w14:paraId="63155FE8" w14:textId="20B74F9D" w:rsidR="002C367C" w:rsidRPr="002C367C" w:rsidRDefault="002C367C" w:rsidP="002C367C">
      <w:pPr>
        <w:pStyle w:val="Grundtext"/>
        <w:numPr>
          <w:ilvl w:val="0"/>
          <w:numId w:val="15"/>
        </w:numPr>
        <w:rPr>
          <w:lang w:val="de-DE"/>
        </w:rPr>
      </w:pPr>
      <w:r w:rsidRPr="002C367C">
        <w:rPr>
          <w:lang w:val="de-DE"/>
        </w:rPr>
        <w:t>ihr Vater oder ihre Mutter bei Eintritt der Invalidität während minde</w:t>
      </w:r>
      <w:r w:rsidRPr="002C367C">
        <w:rPr>
          <w:lang w:val="de-DE"/>
        </w:rPr>
        <w:t>s</w:t>
      </w:r>
      <w:r w:rsidRPr="002C367C">
        <w:rPr>
          <w:lang w:val="de-DE"/>
        </w:rPr>
        <w:t>tens eines vollen Jahres Beiträge geleistet oder sich ununterbrochen während zehn Jahren in der Schweiz aufgehalten haben; und</w:t>
      </w:r>
    </w:p>
    <w:p w14:paraId="460D37C0" w14:textId="240E2E66" w:rsidR="002C367C" w:rsidRPr="002C367C" w:rsidRDefault="002C367C" w:rsidP="002C367C">
      <w:pPr>
        <w:pStyle w:val="Grundtext"/>
        <w:numPr>
          <w:ilvl w:val="0"/>
          <w:numId w:val="15"/>
        </w:numPr>
        <w:rPr>
          <w:lang w:val="de-DE" w:bidi="de-DE"/>
        </w:rPr>
      </w:pPr>
      <w:r w:rsidRPr="002C367C">
        <w:rPr>
          <w:lang w:val="de-DE"/>
        </w:rPr>
        <w:t>sie selbst in der Schweiz invalid geboren sind oder sich bei Eintritt der Invalidität seit mindestens einem Jahr oder seit der Geburt ununterbr</w:t>
      </w:r>
      <w:r w:rsidRPr="002C367C">
        <w:rPr>
          <w:lang w:val="de-DE"/>
        </w:rPr>
        <w:t>o</w:t>
      </w:r>
      <w:r w:rsidRPr="002C367C">
        <w:rPr>
          <w:lang w:val="de-DE"/>
        </w:rPr>
        <w:t>chen in der Schweiz aufgehalten haben. Den in der Schweiz invalid g</w:t>
      </w:r>
      <w:r w:rsidRPr="002C367C">
        <w:rPr>
          <w:lang w:val="de-DE"/>
        </w:rPr>
        <w:t>e</w:t>
      </w:r>
      <w:r w:rsidRPr="002C367C">
        <w:rPr>
          <w:lang w:val="de-DE"/>
        </w:rPr>
        <w:t>borenen Kindern gleichgestellt sind Kinder mit Wohnsitz und gewöh</w:t>
      </w:r>
      <w:r w:rsidRPr="002C367C">
        <w:rPr>
          <w:lang w:val="de-DE"/>
        </w:rPr>
        <w:t>n</w:t>
      </w:r>
      <w:r w:rsidRPr="002C367C">
        <w:rPr>
          <w:lang w:val="de-DE"/>
        </w:rPr>
        <w:t>lichem Aufenthalt in der Schweiz, die im Ausland invalid geboren sind und deren Mutter sich dort unmittelbar vor der Geburt während höch</w:t>
      </w:r>
      <w:r w:rsidRPr="002C367C">
        <w:rPr>
          <w:lang w:val="de-DE"/>
        </w:rPr>
        <w:t>s</w:t>
      </w:r>
      <w:r w:rsidRPr="002C367C">
        <w:rPr>
          <w:lang w:val="de-DE"/>
        </w:rPr>
        <w:t>tens zwei Monaten aufgehalten hat. Der Bundesrat regelt, in welchem Umfang die Invalidenversicherung die Kosten zu übernehmen hat, die sich im Ausland wegen der Invalidität ergeben</w:t>
      </w:r>
      <w:r w:rsidRPr="002C367C">
        <w:rPr>
          <w:vertAlign w:val="superscript"/>
          <w:lang w:val="de-DE"/>
        </w:rPr>
        <w:footnoteReference w:id="94"/>
      </w:r>
      <w:r w:rsidR="000F7FF8">
        <w:rPr>
          <w:lang w:val="de-DE"/>
        </w:rPr>
        <w:t>.</w:t>
      </w:r>
    </w:p>
    <w:p w14:paraId="40B5FEC3" w14:textId="368F28C6" w:rsidR="00DD7E64" w:rsidRDefault="00DD7E64" w:rsidP="00400C13">
      <w:pPr>
        <w:pStyle w:val="Grundtext"/>
        <w:rPr>
          <w:lang w:val="de-DE"/>
        </w:rPr>
      </w:pPr>
      <w:r>
        <w:rPr>
          <w:lang w:val="de-DE"/>
        </w:rPr>
        <w:t>Hinsichtlich des Anspruchs auf eine Hilflosenentschädigungen bestehen für minderjährige Versicherte folgende Besonderheiten</w:t>
      </w:r>
      <w:r>
        <w:rPr>
          <w:rStyle w:val="Funotenzeichen"/>
          <w:lang w:val="de-DE"/>
        </w:rPr>
        <w:footnoteReference w:id="95"/>
      </w:r>
      <w:r w:rsidR="000F7FF8">
        <w:rPr>
          <w:lang w:val="de-DE"/>
        </w:rPr>
        <w:t>:</w:t>
      </w:r>
      <w:r>
        <w:rPr>
          <w:lang w:val="de-DE"/>
        </w:rPr>
        <w:t xml:space="preserve"> </w:t>
      </w:r>
    </w:p>
    <w:p w14:paraId="677FC61F" w14:textId="77777777" w:rsidR="00DD7E64" w:rsidRDefault="00400C13" w:rsidP="00DD7E64">
      <w:pPr>
        <w:pStyle w:val="Grundtext"/>
        <w:numPr>
          <w:ilvl w:val="0"/>
          <w:numId w:val="14"/>
        </w:numPr>
        <w:rPr>
          <w:lang w:val="de-DE"/>
        </w:rPr>
      </w:pPr>
      <w:r w:rsidRPr="00400C13">
        <w:rPr>
          <w:lang w:val="de-DE"/>
        </w:rPr>
        <w:t>Bei Versicherten, welche das erste Lebensjahr noch nicht vollendet h</w:t>
      </w:r>
      <w:r w:rsidRPr="00400C13">
        <w:rPr>
          <w:lang w:val="de-DE"/>
        </w:rPr>
        <w:t>a</w:t>
      </w:r>
      <w:r w:rsidRPr="00400C13">
        <w:rPr>
          <w:lang w:val="de-DE"/>
        </w:rPr>
        <w:t>ben, entsteht der Anspruch, sobald voraussichtlich während mehr als zwölf Monaten eine Hilflosigkeit besteht.</w:t>
      </w:r>
      <w:r w:rsidR="00DD7E64">
        <w:rPr>
          <w:lang w:val="de-DE"/>
        </w:rPr>
        <w:t xml:space="preserve"> </w:t>
      </w:r>
    </w:p>
    <w:p w14:paraId="5C3F0AAF" w14:textId="77777777" w:rsidR="00DD7E64" w:rsidRDefault="00400C13" w:rsidP="00DD7E64">
      <w:pPr>
        <w:pStyle w:val="Grundtext"/>
        <w:numPr>
          <w:ilvl w:val="0"/>
          <w:numId w:val="14"/>
        </w:numPr>
        <w:rPr>
          <w:lang w:val="de-DE"/>
        </w:rPr>
      </w:pPr>
      <w:r w:rsidRPr="00400C13">
        <w:rPr>
          <w:lang w:val="de-DE"/>
        </w:rPr>
        <w:t>Minderjährige haben nur an den Tagen Anspruch auf eine Hilflosenen</w:t>
      </w:r>
      <w:r w:rsidRPr="00400C13">
        <w:rPr>
          <w:lang w:val="de-DE"/>
        </w:rPr>
        <w:t>t</w:t>
      </w:r>
      <w:r w:rsidRPr="00400C13">
        <w:rPr>
          <w:lang w:val="de-DE"/>
        </w:rPr>
        <w:t>schädigung, an denen sie sich nicht in einem Heim oder nicht in einer Heilanstalt zulasten der Sozialversicherung aufhalten.</w:t>
      </w:r>
      <w:r w:rsidR="00DD7E64">
        <w:rPr>
          <w:lang w:val="de-DE"/>
        </w:rPr>
        <w:t xml:space="preserve"> </w:t>
      </w:r>
    </w:p>
    <w:p w14:paraId="00C65AE9" w14:textId="7989C7B1" w:rsidR="001906EB" w:rsidRPr="001906EB" w:rsidRDefault="00400C13" w:rsidP="00DD7E64">
      <w:pPr>
        <w:pStyle w:val="Grundtext"/>
        <w:numPr>
          <w:ilvl w:val="0"/>
          <w:numId w:val="14"/>
        </w:numPr>
        <w:rPr>
          <w:lang w:val="de-DE"/>
        </w:rPr>
      </w:pPr>
      <w:r w:rsidRPr="00400C13">
        <w:rPr>
          <w:lang w:val="de-DE"/>
        </w:rPr>
        <w:t>Minderjährige haben keinen Anspruch auf eine Hilflosenentschädigung, wenn sie lediglich auf lebenspraktische Begleitung angewiesen sind.</w:t>
      </w:r>
    </w:p>
    <w:p w14:paraId="549A4854" w14:textId="77777777" w:rsidR="001906EB" w:rsidRDefault="001906EB" w:rsidP="001906EB">
      <w:pPr>
        <w:pStyle w:val="berschrift3"/>
        <w:rPr>
          <w:lang w:val="de-DE"/>
        </w:rPr>
      </w:pPr>
      <w:bookmarkStart w:id="47" w:name="_Toc246328772"/>
      <w:r w:rsidRPr="001906EB">
        <w:rPr>
          <w:lang w:val="de-DE"/>
        </w:rPr>
        <w:t>Intensivpflegezuschlag</w:t>
      </w:r>
      <w:bookmarkEnd w:id="47"/>
    </w:p>
    <w:p w14:paraId="5405D891" w14:textId="6C81D77D" w:rsidR="002A72AE" w:rsidRPr="002A72AE" w:rsidRDefault="002A72AE" w:rsidP="002A72AE">
      <w:pPr>
        <w:pStyle w:val="Grundtext"/>
        <w:rPr>
          <w:lang w:val="de-DE"/>
        </w:rPr>
      </w:pPr>
      <w:r w:rsidRPr="002A72AE">
        <w:rPr>
          <w:lang w:val="de-DE"/>
        </w:rPr>
        <w:t>Im Rahmen der 4. IV-Revision ist neben der Entschädigung für lebenspraktische Begleitung auch ein Intensivpflegezuschlag</w:t>
      </w:r>
      <w:r w:rsidRPr="002A72AE">
        <w:rPr>
          <w:vertAlign w:val="superscript"/>
          <w:lang w:val="de-DE"/>
        </w:rPr>
        <w:footnoteReference w:id="96"/>
      </w:r>
      <w:r w:rsidRPr="002A72AE">
        <w:rPr>
          <w:lang w:val="de-DE"/>
        </w:rPr>
        <w:t xml:space="preserve"> eingeführt worden, der die Hau</w:t>
      </w:r>
      <w:r w:rsidRPr="002A72AE">
        <w:rPr>
          <w:lang w:val="de-DE"/>
        </w:rPr>
        <w:t>s</w:t>
      </w:r>
      <w:r w:rsidRPr="002A72AE">
        <w:rPr>
          <w:lang w:val="de-DE"/>
        </w:rPr>
        <w:t xml:space="preserve">pflegeentschädigung </w:t>
      </w:r>
      <w:r w:rsidRPr="003F7802">
        <w:rPr>
          <w:lang w:val="de-DE"/>
        </w:rPr>
        <w:t>i.S.v. Art. 4 aIVV ersetzt hat</w:t>
      </w:r>
      <w:r w:rsidRPr="003F7802">
        <w:rPr>
          <w:vertAlign w:val="superscript"/>
          <w:lang w:val="de-DE"/>
        </w:rPr>
        <w:footnoteReference w:id="97"/>
      </w:r>
      <w:r w:rsidR="000F7FF8">
        <w:rPr>
          <w:lang w:val="de-DE"/>
        </w:rPr>
        <w:t>.</w:t>
      </w:r>
      <w:r w:rsidRPr="003F7802">
        <w:rPr>
          <w:lang w:val="de-DE"/>
        </w:rPr>
        <w:t xml:space="preserve"> Die Intensivpflegeentsch</w:t>
      </w:r>
      <w:r w:rsidRPr="003F7802">
        <w:rPr>
          <w:lang w:val="de-DE"/>
        </w:rPr>
        <w:t>ä</w:t>
      </w:r>
      <w:r w:rsidRPr="003F7802">
        <w:rPr>
          <w:lang w:val="de-DE"/>
        </w:rPr>
        <w:t>digung steht nur Minderjährigen zu, die sich nicht in einem Heim aufhalten</w:t>
      </w:r>
      <w:r w:rsidRPr="003F7802">
        <w:rPr>
          <w:vertAlign w:val="superscript"/>
          <w:lang w:val="de-DE"/>
        </w:rPr>
        <w:footnoteReference w:id="98"/>
      </w:r>
      <w:r w:rsidR="000F7FF8">
        <w:rPr>
          <w:lang w:val="de-DE"/>
        </w:rPr>
        <w:t>.</w:t>
      </w:r>
      <w:r w:rsidRPr="003F7802">
        <w:rPr>
          <w:lang w:val="de-DE"/>
        </w:rPr>
        <w:t xml:space="preserve"> Die Intensivpflegeent</w:t>
      </w:r>
      <w:r w:rsidRPr="002A72AE">
        <w:rPr>
          <w:lang w:val="de-DE"/>
        </w:rPr>
        <w:t>schädigung wird – im Gegensatz zur Entschädigung für lebenspraktische Begleitung – pro Tag abgerechnet und besteht in einer von der Hilflosenentschädigung unabhängigen Geldleistung, die wie die Hilflosenen</w:t>
      </w:r>
      <w:r w:rsidRPr="002A72AE">
        <w:rPr>
          <w:lang w:val="de-DE"/>
        </w:rPr>
        <w:t>t</w:t>
      </w:r>
      <w:r w:rsidRPr="002A72AE">
        <w:rPr>
          <w:lang w:val="de-DE"/>
        </w:rPr>
        <w:t>schädigung</w:t>
      </w:r>
      <w:r w:rsidRPr="002A72AE">
        <w:rPr>
          <w:vertAlign w:val="superscript"/>
          <w:lang w:val="de-DE"/>
        </w:rPr>
        <w:t xml:space="preserve"> </w:t>
      </w:r>
      <w:r w:rsidRPr="002A72AE">
        <w:rPr>
          <w:lang w:val="de-DE"/>
        </w:rPr>
        <w:t>in einem abgestuften Prozentsatz des Höchstbetrags einer AHV-Altersrente besteht</w:t>
      </w:r>
      <w:r w:rsidRPr="002A72AE">
        <w:rPr>
          <w:vertAlign w:val="superscript"/>
          <w:lang w:val="de-DE"/>
        </w:rPr>
        <w:footnoteReference w:id="99"/>
      </w:r>
      <w:r w:rsidR="000F7FF8">
        <w:rPr>
          <w:lang w:val="de-DE"/>
        </w:rPr>
        <w:t>.</w:t>
      </w:r>
    </w:p>
    <w:p w14:paraId="7F521D5F" w14:textId="1339FD17" w:rsidR="002A72AE" w:rsidRPr="002A72AE" w:rsidRDefault="002A72AE" w:rsidP="002A72AE">
      <w:pPr>
        <w:pStyle w:val="Grundtext"/>
        <w:rPr>
          <w:lang w:val="de-DE"/>
        </w:rPr>
      </w:pPr>
      <w:r w:rsidRPr="002A72AE">
        <w:rPr>
          <w:lang w:val="de-DE"/>
        </w:rPr>
        <w:t>Unter «Intensivpflege</w:t>
      </w:r>
      <w:r w:rsidRPr="003F7802">
        <w:rPr>
          <w:lang w:val="de-DE"/>
        </w:rPr>
        <w:t>»</w:t>
      </w:r>
      <w:r w:rsidRPr="003F7802">
        <w:rPr>
          <w:vertAlign w:val="superscript"/>
          <w:lang w:val="de-DE"/>
        </w:rPr>
        <w:footnoteReference w:id="100"/>
      </w:r>
      <w:r w:rsidRPr="003F7802">
        <w:rPr>
          <w:lang w:val="de-DE"/>
        </w:rPr>
        <w:t xml:space="preserve"> fällt der behinderungsbedingte Mehrbedarf an Behan</w:t>
      </w:r>
      <w:r w:rsidRPr="003F7802">
        <w:rPr>
          <w:lang w:val="de-DE"/>
        </w:rPr>
        <w:t>d</w:t>
      </w:r>
      <w:r w:rsidRPr="003F7802">
        <w:rPr>
          <w:lang w:val="de-DE"/>
        </w:rPr>
        <w:t>lungs- und Grundpflege und persönlicher Überwachung im Vergleich zu nicht behinderten Minderjährigen gleichen Alters. In zeitlicher Hinsicht wird vorau</w:t>
      </w:r>
      <w:r w:rsidRPr="003F7802">
        <w:rPr>
          <w:lang w:val="de-DE"/>
        </w:rPr>
        <w:t>s</w:t>
      </w:r>
      <w:r w:rsidRPr="003F7802">
        <w:rPr>
          <w:lang w:val="de-DE"/>
        </w:rPr>
        <w:t>gesetzt, dass der Pflege- und Überwachungsmehrbedarf mindestens vier Stunden ausmacht</w:t>
      </w:r>
      <w:r w:rsidRPr="003F7802">
        <w:rPr>
          <w:vertAlign w:val="superscript"/>
          <w:lang w:val="de-DE"/>
        </w:rPr>
        <w:footnoteReference w:id="101"/>
      </w:r>
      <w:r w:rsidR="000F7FF8">
        <w:rPr>
          <w:lang w:val="de-DE"/>
        </w:rPr>
        <w:t>.</w:t>
      </w:r>
      <w:r w:rsidRPr="003F7802">
        <w:rPr>
          <w:lang w:val="de-DE"/>
        </w:rPr>
        <w:t xml:space="preserve"> Wird der Versicherte von den Eltern und extern, z.B. in einer So</w:t>
      </w:r>
      <w:r w:rsidRPr="003F7802">
        <w:rPr>
          <w:lang w:val="de-DE"/>
        </w:rPr>
        <w:t>n</w:t>
      </w:r>
      <w:r w:rsidRPr="003F7802">
        <w:rPr>
          <w:lang w:val="de-DE"/>
        </w:rPr>
        <w:t>derschule oder Tagesstätte, betreut, ist der durchschnittliche objektive Betre</w:t>
      </w:r>
      <w:r w:rsidRPr="003F7802">
        <w:rPr>
          <w:lang w:val="de-DE"/>
        </w:rPr>
        <w:t>u</w:t>
      </w:r>
      <w:r w:rsidRPr="003F7802">
        <w:rPr>
          <w:lang w:val="de-DE"/>
        </w:rPr>
        <w:t>ungsaufwand und nicht allein die Betreuung in der Sonderschule massgebend</w:t>
      </w:r>
      <w:r w:rsidRPr="003F7802">
        <w:rPr>
          <w:vertAlign w:val="superscript"/>
          <w:lang w:val="de-DE"/>
        </w:rPr>
        <w:footnoteReference w:id="102"/>
      </w:r>
      <w:r w:rsidR="000F7FF8">
        <w:rPr>
          <w:lang w:val="de-DE"/>
        </w:rPr>
        <w:t>.</w:t>
      </w:r>
      <w:r w:rsidRPr="003F7802">
        <w:rPr>
          <w:lang w:val="de-DE"/>
        </w:rPr>
        <w:t xml:space="preserve"> Nicht anrechenbar sin</w:t>
      </w:r>
      <w:r w:rsidRPr="002A72AE">
        <w:rPr>
          <w:lang w:val="de-DE"/>
        </w:rPr>
        <w:t>d ärztlich verordnete medizinische Massnahmen, die durch medizinische Hilfspersonen vorgenommen werden, sowie pädagogisch-therapeutische Massnahmen</w:t>
      </w:r>
      <w:r w:rsidRPr="002A72AE">
        <w:rPr>
          <w:vertAlign w:val="superscript"/>
          <w:lang w:val="de-DE"/>
        </w:rPr>
        <w:footnoteReference w:id="103"/>
      </w:r>
      <w:r w:rsidR="000F7FF8">
        <w:rPr>
          <w:lang w:val="de-DE"/>
        </w:rPr>
        <w:t>.</w:t>
      </w:r>
      <w:r w:rsidRPr="002A72AE">
        <w:rPr>
          <w:lang w:val="de-DE"/>
        </w:rPr>
        <w:t xml:space="preserve"> </w:t>
      </w:r>
    </w:p>
    <w:p w14:paraId="0C3DB888" w14:textId="0CA8516F" w:rsidR="002A72AE" w:rsidRPr="002A72AE" w:rsidRDefault="002A72AE" w:rsidP="002A72AE">
      <w:pPr>
        <w:pStyle w:val="Grundtext"/>
        <w:rPr>
          <w:lang w:val="de-DE"/>
        </w:rPr>
      </w:pPr>
      <w:r w:rsidRPr="002A72AE">
        <w:rPr>
          <w:lang w:val="de-DE"/>
        </w:rPr>
        <w:t>Eine dauernde behinderungsbedingte Überwachung kann pauschal oder konkret, nicht aber doppelt berücksichtigt werden</w:t>
      </w:r>
      <w:r w:rsidRPr="002A72AE">
        <w:rPr>
          <w:vertAlign w:val="superscript"/>
          <w:lang w:val="de-DE"/>
        </w:rPr>
        <w:footnoteReference w:id="104"/>
      </w:r>
      <w:r w:rsidR="000F7FF8">
        <w:rPr>
          <w:lang w:val="de-DE"/>
        </w:rPr>
        <w:t>.</w:t>
      </w:r>
      <w:r w:rsidRPr="002A72AE">
        <w:rPr>
          <w:lang w:val="de-DE"/>
        </w:rPr>
        <w:t xml:space="preserve"> Pauschal kann eine dauernde behi</w:t>
      </w:r>
      <w:r w:rsidRPr="002A72AE">
        <w:rPr>
          <w:lang w:val="de-DE"/>
        </w:rPr>
        <w:t>n</w:t>
      </w:r>
      <w:r w:rsidRPr="002A72AE">
        <w:rPr>
          <w:lang w:val="de-DE"/>
        </w:rPr>
        <w:t>derungsbedingte Überwachung mit zwei, eine besonders intensive behind</w:t>
      </w:r>
      <w:r w:rsidRPr="002A72AE">
        <w:rPr>
          <w:lang w:val="de-DE"/>
        </w:rPr>
        <w:t>e</w:t>
      </w:r>
      <w:r w:rsidRPr="002A72AE">
        <w:rPr>
          <w:lang w:val="de-DE"/>
        </w:rPr>
        <w:t>rungsbedingte Überwachung mit vier Stunden angerechnet werden</w:t>
      </w:r>
      <w:r w:rsidRPr="002A72AE">
        <w:rPr>
          <w:vertAlign w:val="superscript"/>
          <w:lang w:val="de-DE"/>
        </w:rPr>
        <w:footnoteReference w:id="105"/>
      </w:r>
      <w:r w:rsidR="000F7FF8">
        <w:rPr>
          <w:lang w:val="de-DE"/>
        </w:rPr>
        <w:t>.</w:t>
      </w:r>
      <w:r w:rsidRPr="002A72AE">
        <w:rPr>
          <w:lang w:val="de-DE"/>
        </w:rPr>
        <w:t xml:space="preserve"> Der A</w:t>
      </w:r>
      <w:r w:rsidRPr="002A72AE">
        <w:rPr>
          <w:lang w:val="de-DE"/>
        </w:rPr>
        <w:t>n</w:t>
      </w:r>
      <w:r w:rsidRPr="002A72AE">
        <w:rPr>
          <w:lang w:val="de-DE"/>
        </w:rPr>
        <w:t xml:space="preserve">spruch auf den pauschalen Intensivpflegezuschlag setzt nicht voraus, dass der Versicherte während bestimmter Stunden am Tag pflegerische Unterstützung benötigt. </w:t>
      </w:r>
    </w:p>
    <w:p w14:paraId="36DCE5FD" w14:textId="7448EE6A" w:rsidR="002A72AE" w:rsidRPr="002A72AE" w:rsidRDefault="002A72AE" w:rsidP="002A72AE">
      <w:pPr>
        <w:pStyle w:val="Grundtext"/>
        <w:rPr>
          <w:lang w:val="de-DE"/>
        </w:rPr>
      </w:pPr>
      <w:r w:rsidRPr="002A72AE">
        <w:rPr>
          <w:lang w:val="de-DE"/>
        </w:rPr>
        <w:t>Mit dem pauschalen Intensivpflegezuschlag soll vielmehr die für die Eltern ex</w:t>
      </w:r>
      <w:r w:rsidRPr="002A72AE">
        <w:rPr>
          <w:lang w:val="de-DE"/>
        </w:rPr>
        <w:t>t</w:t>
      </w:r>
      <w:r w:rsidRPr="002A72AE">
        <w:rPr>
          <w:lang w:val="de-DE"/>
        </w:rPr>
        <w:t>rem belastende Tatsache einer darüber hinaus gehenden, rund um die Uhr no</w:t>
      </w:r>
      <w:r w:rsidRPr="002A72AE">
        <w:rPr>
          <w:lang w:val="de-DE"/>
        </w:rPr>
        <w:t>t</w:t>
      </w:r>
      <w:r w:rsidRPr="002A72AE">
        <w:rPr>
          <w:lang w:val="de-DE"/>
        </w:rPr>
        <w:t>wendigen, invaliditätsbedingten Überwachung abgegolten werden. Eine beso</w:t>
      </w:r>
      <w:r w:rsidRPr="002A72AE">
        <w:rPr>
          <w:lang w:val="de-DE"/>
        </w:rPr>
        <w:t>n</w:t>
      </w:r>
      <w:r w:rsidRPr="002A72AE">
        <w:rPr>
          <w:lang w:val="de-DE"/>
        </w:rPr>
        <w:t>ders grosse, mit vier Stunden zu gewichtende Überwachungsintensität ist anzunehmen in schweren Fällen von Autismus, bei denen ein Kind keine fünf Minuten aus den Augen gelassen werden kann und die Eltern permanent interv</w:t>
      </w:r>
      <w:r w:rsidRPr="002A72AE">
        <w:rPr>
          <w:lang w:val="de-DE"/>
        </w:rPr>
        <w:t>e</w:t>
      </w:r>
      <w:r w:rsidRPr="002A72AE">
        <w:rPr>
          <w:lang w:val="de-DE"/>
        </w:rPr>
        <w:t>nieren müssen</w:t>
      </w:r>
      <w:r w:rsidRPr="002A72AE">
        <w:rPr>
          <w:vertAlign w:val="superscript"/>
          <w:lang w:val="de-DE"/>
        </w:rPr>
        <w:footnoteReference w:id="106"/>
      </w:r>
      <w:r w:rsidR="000F7FF8">
        <w:rPr>
          <w:lang w:val="de-DE"/>
        </w:rPr>
        <w:t>.</w:t>
      </w:r>
    </w:p>
    <w:p w14:paraId="45AA5F0C" w14:textId="5DA4D629" w:rsidR="001906EB" w:rsidRPr="001906EB" w:rsidRDefault="001906EB" w:rsidP="001906EB">
      <w:pPr>
        <w:pStyle w:val="berschrift3"/>
        <w:rPr>
          <w:lang w:val="de-DE"/>
        </w:rPr>
      </w:pPr>
      <w:bookmarkStart w:id="48" w:name="_Toc246328773"/>
      <w:r w:rsidRPr="001906EB">
        <w:rPr>
          <w:lang w:val="de-DE"/>
        </w:rPr>
        <w:t>Assistenz</w:t>
      </w:r>
      <w:r w:rsidR="008B2F82">
        <w:rPr>
          <w:lang w:val="de-DE"/>
        </w:rPr>
        <w:t>b</w:t>
      </w:r>
      <w:r w:rsidRPr="001906EB">
        <w:rPr>
          <w:lang w:val="de-DE"/>
        </w:rPr>
        <w:t>eitrag</w:t>
      </w:r>
      <w:bookmarkEnd w:id="48"/>
    </w:p>
    <w:p w14:paraId="17B8BB50" w14:textId="486FBDAC" w:rsidR="008B2F82" w:rsidRPr="008B2F82" w:rsidRDefault="008876D6" w:rsidP="008B2F82">
      <w:pPr>
        <w:pStyle w:val="Grundtext"/>
        <w:rPr>
          <w:lang w:val="de-DE"/>
        </w:rPr>
      </w:pPr>
      <w:r w:rsidRPr="008876D6">
        <w:rPr>
          <w:lang w:val="de-DE"/>
        </w:rPr>
        <w:t xml:space="preserve">Im Rahmen der 6. IVG-Revision (erster Teil 6a) wurde ein Assistenzbeitrag </w:t>
      </w:r>
      <w:bookmarkStart w:id="49" w:name="OLE_LINK121"/>
      <w:bookmarkStart w:id="50" w:name="OLE_LINK122"/>
      <w:r w:rsidRPr="008876D6">
        <w:rPr>
          <w:lang w:val="de-DE"/>
        </w:rPr>
        <w:t>per 1. Januar 201</w:t>
      </w:r>
      <w:bookmarkEnd w:id="49"/>
      <w:bookmarkEnd w:id="50"/>
      <w:r w:rsidR="003D7E4B">
        <w:rPr>
          <w:lang w:val="de-DE"/>
        </w:rPr>
        <w:t>2</w:t>
      </w:r>
      <w:r w:rsidRPr="008876D6">
        <w:rPr>
          <w:lang w:val="de-DE"/>
        </w:rPr>
        <w:t xml:space="preserve"> eingeführt</w:t>
      </w:r>
      <w:r w:rsidRPr="008876D6">
        <w:rPr>
          <w:vertAlign w:val="superscript"/>
          <w:lang w:val="de-DE"/>
        </w:rPr>
        <w:footnoteReference w:id="107"/>
      </w:r>
      <w:r w:rsidR="000F7FF8">
        <w:rPr>
          <w:lang w:val="de-DE"/>
        </w:rPr>
        <w:t>.</w:t>
      </w:r>
      <w:r w:rsidRPr="008876D6">
        <w:rPr>
          <w:lang w:val="de-DE"/>
        </w:rPr>
        <w:t xml:space="preserve"> Mit dem Assistenzbeitrag soll der Zweck der IV, dem Versicherten eine eigenverantwortliche und selbstbestimmte Lebensführung zu ermöglichen</w:t>
      </w:r>
      <w:r w:rsidRPr="008876D6">
        <w:rPr>
          <w:vertAlign w:val="superscript"/>
          <w:lang w:val="de-DE"/>
        </w:rPr>
        <w:footnoteReference w:id="108"/>
      </w:r>
      <w:r w:rsidR="000F7FF8">
        <w:rPr>
          <w:lang w:val="de-DE"/>
        </w:rPr>
        <w:t>,</w:t>
      </w:r>
      <w:r w:rsidRPr="008876D6">
        <w:rPr>
          <w:lang w:val="de-DE"/>
        </w:rPr>
        <w:t xml:space="preserve"> erfüllt werden.</w:t>
      </w:r>
      <w:r w:rsidR="001F2CEC">
        <w:rPr>
          <w:lang w:val="de-DE"/>
        </w:rPr>
        <w:t xml:space="preserve"> </w:t>
      </w:r>
      <w:r w:rsidR="001F2CEC" w:rsidRPr="001F2CEC">
        <w:rPr>
          <w:lang w:val="de-DE"/>
        </w:rPr>
        <w:t>Der Anspruch auf einen Assistenzbeitrag steht Versicher</w:t>
      </w:r>
      <w:r w:rsidR="00823EB0">
        <w:rPr>
          <w:lang w:val="de-DE"/>
        </w:rPr>
        <w:t>ten zu, denen eine Hilflosenentschä</w:t>
      </w:r>
      <w:r w:rsidR="001F2CEC" w:rsidRPr="001F2CEC">
        <w:rPr>
          <w:lang w:val="de-DE"/>
        </w:rPr>
        <w:t>digung der IV ausgerichtet wird, die zu Hause leben und die volljährig sind</w:t>
      </w:r>
      <w:r w:rsidR="001F2CEC" w:rsidRPr="001F2CEC">
        <w:rPr>
          <w:vertAlign w:val="superscript"/>
          <w:lang w:val="de-DE"/>
        </w:rPr>
        <w:footnoteReference w:id="109"/>
      </w:r>
      <w:r w:rsidR="000F7FF8">
        <w:rPr>
          <w:lang w:val="de-DE"/>
        </w:rPr>
        <w:t>.</w:t>
      </w:r>
      <w:r w:rsidR="001F2CEC" w:rsidRPr="001F2CEC">
        <w:rPr>
          <w:lang w:val="de-DE"/>
        </w:rPr>
        <w:t xml:space="preserve"> </w:t>
      </w:r>
      <w:r w:rsidR="008B2F82" w:rsidRPr="008B2F82">
        <w:rPr>
          <w:lang w:val="de-DE"/>
        </w:rPr>
        <w:t>Minderjährige Versicherte haben A</w:t>
      </w:r>
      <w:r w:rsidR="008B2F82" w:rsidRPr="008B2F82">
        <w:rPr>
          <w:lang w:val="de-DE"/>
        </w:rPr>
        <w:t>n</w:t>
      </w:r>
      <w:r w:rsidR="008B2F82" w:rsidRPr="008B2F82">
        <w:rPr>
          <w:lang w:val="de-DE"/>
        </w:rPr>
        <w:t>spruch auf einen Assistenzbeitrag, wenn sie die Voraussetzungen nach Artikel 42</w:t>
      </w:r>
      <w:r w:rsidR="008B2F82" w:rsidRPr="008B2F82">
        <w:rPr>
          <w:vertAlign w:val="superscript"/>
          <w:lang w:val="de-DE"/>
        </w:rPr>
        <w:t>quater</w:t>
      </w:r>
      <w:r w:rsidR="008B2F82" w:rsidRPr="008B2F82">
        <w:rPr>
          <w:lang w:val="de-DE"/>
        </w:rPr>
        <w:t xml:space="preserve"> Abs. 1 lit. a und b IVG erfüllen und:</w:t>
      </w:r>
    </w:p>
    <w:p w14:paraId="24F6AC6E" w14:textId="16311ACD" w:rsidR="008B2F82" w:rsidRPr="008B2F82" w:rsidRDefault="008B2F82" w:rsidP="008B2F82">
      <w:pPr>
        <w:pStyle w:val="Grundtext"/>
        <w:numPr>
          <w:ilvl w:val="0"/>
          <w:numId w:val="13"/>
        </w:numPr>
        <w:rPr>
          <w:lang w:val="de-DE"/>
        </w:rPr>
      </w:pPr>
      <w:r w:rsidRPr="008B2F82">
        <w:rPr>
          <w:lang w:val="de-DE"/>
        </w:rPr>
        <w:t>regelmässig die obligatorische Schule in einer Regelklasse besuchen, eine Berufsausbildung auf dem regulären Arbeitsmarkt oder eine andere Ausbildung auf Sekundarstufe II absolvieren</w:t>
      </w:r>
      <w:r w:rsidRPr="008B2F82">
        <w:rPr>
          <w:vertAlign w:val="superscript"/>
          <w:lang w:val="de-DE"/>
        </w:rPr>
        <w:footnoteReference w:id="110"/>
      </w:r>
      <w:r w:rsidR="000F7FF8">
        <w:rPr>
          <w:lang w:val="de-DE"/>
        </w:rPr>
        <w:t>,</w:t>
      </w:r>
    </w:p>
    <w:p w14:paraId="2641AC90" w14:textId="25DEB53F" w:rsidR="008B2F82" w:rsidRPr="008B2F82" w:rsidRDefault="008B2F82" w:rsidP="008B2F82">
      <w:pPr>
        <w:pStyle w:val="Grundtext"/>
        <w:numPr>
          <w:ilvl w:val="0"/>
          <w:numId w:val="13"/>
        </w:numPr>
        <w:rPr>
          <w:lang w:val="de-DE"/>
        </w:rPr>
      </w:pPr>
      <w:r w:rsidRPr="008B2F82">
        <w:rPr>
          <w:lang w:val="de-DE"/>
        </w:rPr>
        <w:t>während mindestens 10 Stunden pro Woche eine Erwerbstätigkeit auf dem regulären Arbeitsmarkt ausüben</w:t>
      </w:r>
      <w:r w:rsidRPr="008B2F82">
        <w:rPr>
          <w:vertAlign w:val="superscript"/>
          <w:lang w:val="de-DE"/>
        </w:rPr>
        <w:footnoteReference w:id="111"/>
      </w:r>
      <w:r w:rsidRPr="008B2F82">
        <w:rPr>
          <w:lang w:val="de-DE"/>
        </w:rPr>
        <w:t xml:space="preserve"> oder</w:t>
      </w:r>
    </w:p>
    <w:p w14:paraId="4085D76B" w14:textId="7E95BC14" w:rsidR="008B2F82" w:rsidRPr="008B2F82" w:rsidRDefault="008B2F82" w:rsidP="008B2F82">
      <w:pPr>
        <w:pStyle w:val="Grundtext"/>
        <w:numPr>
          <w:ilvl w:val="0"/>
          <w:numId w:val="13"/>
        </w:numPr>
        <w:rPr>
          <w:lang w:val="de-DE"/>
        </w:rPr>
      </w:pPr>
      <w:r w:rsidRPr="008B2F82">
        <w:rPr>
          <w:lang w:val="de-DE"/>
        </w:rPr>
        <w:t>denen ein Intensivpflegezuschlag für einen Pflege- und Überwachung</w:t>
      </w:r>
      <w:r w:rsidRPr="008B2F82">
        <w:rPr>
          <w:lang w:val="de-DE"/>
        </w:rPr>
        <w:t>s</w:t>
      </w:r>
      <w:r w:rsidRPr="008B2F82">
        <w:rPr>
          <w:lang w:val="de-DE"/>
        </w:rPr>
        <w:t>bedarf nach Art. 42</w:t>
      </w:r>
      <w:r w:rsidRPr="008B2F82">
        <w:rPr>
          <w:vertAlign w:val="superscript"/>
          <w:lang w:val="de-DE"/>
        </w:rPr>
        <w:t>ter</w:t>
      </w:r>
      <w:r w:rsidRPr="008B2F82">
        <w:rPr>
          <w:lang w:val="de-DE"/>
        </w:rPr>
        <w:t xml:space="preserve"> Abs. 3 IVG von mindestens 6 Stunden pro Tag ausgerichtet wird</w:t>
      </w:r>
      <w:r w:rsidRPr="008B2F82">
        <w:rPr>
          <w:vertAlign w:val="superscript"/>
          <w:lang w:val="de-DE"/>
        </w:rPr>
        <w:footnoteReference w:id="112"/>
      </w:r>
      <w:r w:rsidR="000F7FF8">
        <w:rPr>
          <w:lang w:val="de-DE"/>
        </w:rPr>
        <w:t>.</w:t>
      </w:r>
    </w:p>
    <w:p w14:paraId="7AA9FBE6" w14:textId="025615A8" w:rsidR="001906EB" w:rsidRPr="001906EB" w:rsidRDefault="008B2F82" w:rsidP="001906EB">
      <w:pPr>
        <w:pStyle w:val="Grundtext"/>
        <w:rPr>
          <w:lang w:val="de-DE"/>
        </w:rPr>
      </w:pPr>
      <w:r w:rsidRPr="008B2F82">
        <w:rPr>
          <w:lang w:val="de-DE"/>
        </w:rPr>
        <w:t>Der Assistenzbeitrag darf jedoch nicht die den Kantonen und Gemeinden zufa</w:t>
      </w:r>
      <w:r w:rsidRPr="008B2F82">
        <w:rPr>
          <w:lang w:val="de-DE"/>
        </w:rPr>
        <w:t>l</w:t>
      </w:r>
      <w:r w:rsidRPr="008B2F82">
        <w:rPr>
          <w:lang w:val="de-DE"/>
        </w:rPr>
        <w:t>lenden Aufgaben ersetzen. Das Unterrichtswesen fällt in die Zuständigkeit der Kantone und Gemeinden, die allenfalls auch zusätzliche Ressourcen für den Unterricht (Zeichensprache, Computer) und die Begleitung bei Sport- und/oder kulturellen Anlässen (Transport, Umkleiden usw.) bereitzustellen haben. De</w:t>
      </w:r>
      <w:r w:rsidRPr="008B2F82">
        <w:rPr>
          <w:lang w:val="de-DE"/>
        </w:rPr>
        <w:t>s</w:t>
      </w:r>
      <w:r w:rsidRPr="008B2F82">
        <w:rPr>
          <w:lang w:val="de-DE"/>
        </w:rPr>
        <w:t>halb ist der Hilfebedarf in der Schule nicht über den Assistenzbeitrag gedeckt</w:t>
      </w:r>
      <w:r w:rsidRPr="008B2F82">
        <w:rPr>
          <w:vertAlign w:val="superscript"/>
          <w:lang w:val="de-DE"/>
        </w:rPr>
        <w:footnoteReference w:id="113"/>
      </w:r>
      <w:r w:rsidR="000F7FF8">
        <w:rPr>
          <w:lang w:val="de-DE"/>
        </w:rPr>
        <w:t>.</w:t>
      </w:r>
    </w:p>
    <w:p w14:paraId="6631A675" w14:textId="77777777" w:rsidR="001906EB" w:rsidRPr="001906EB" w:rsidRDefault="001906EB" w:rsidP="001906EB">
      <w:pPr>
        <w:pStyle w:val="berschrift2"/>
        <w:rPr>
          <w:lang w:val="de-DE"/>
        </w:rPr>
      </w:pPr>
      <w:bookmarkStart w:id="57" w:name="_Toc246328774"/>
      <w:r w:rsidRPr="001906EB">
        <w:rPr>
          <w:lang w:val="de-DE"/>
        </w:rPr>
        <w:t>Ergänzungsleistungen</w:t>
      </w:r>
      <w:bookmarkEnd w:id="57"/>
    </w:p>
    <w:p w14:paraId="3694ED81" w14:textId="1ED1268C" w:rsidR="001906EB" w:rsidRPr="001906EB" w:rsidRDefault="00143E91" w:rsidP="001906EB">
      <w:pPr>
        <w:pStyle w:val="berschrift3"/>
        <w:rPr>
          <w:lang w:val="de-DE"/>
        </w:rPr>
      </w:pPr>
      <w:bookmarkStart w:id="58" w:name="_Toc246328775"/>
      <w:r>
        <w:rPr>
          <w:lang w:val="de-DE"/>
        </w:rPr>
        <w:t>Direkte Anspruchsberechtigung des Kindes</w:t>
      </w:r>
      <w:bookmarkEnd w:id="58"/>
    </w:p>
    <w:p w14:paraId="57FB7423" w14:textId="5DF4AEAD" w:rsidR="0079244F" w:rsidRPr="0079244F" w:rsidRDefault="0079244F" w:rsidP="0079244F">
      <w:pPr>
        <w:pStyle w:val="Grundtext"/>
        <w:rPr>
          <w:lang w:val="de-DE"/>
        </w:rPr>
      </w:pPr>
      <w:r w:rsidRPr="0079244F">
        <w:rPr>
          <w:lang w:val="de-DE"/>
        </w:rPr>
        <w:t>Personen mit Wohnsitz und gewöhnlichem Aufenthalt in der Schweiz haben Anspruch auf Ergänzungsleistungen, wenn sie</w:t>
      </w:r>
      <w:r>
        <w:rPr>
          <w:lang w:val="de-DE"/>
        </w:rPr>
        <w:t xml:space="preserve"> Anspruch auf folgende Versich</w:t>
      </w:r>
      <w:r>
        <w:rPr>
          <w:lang w:val="de-DE"/>
        </w:rPr>
        <w:t>e</w:t>
      </w:r>
      <w:r>
        <w:rPr>
          <w:lang w:val="de-DE"/>
        </w:rPr>
        <w:t>rungsleistungen haben oder geltend machen könnten</w:t>
      </w:r>
      <w:r w:rsidRPr="0079244F">
        <w:rPr>
          <w:lang w:val="de-DE"/>
        </w:rPr>
        <w:t>:</w:t>
      </w:r>
    </w:p>
    <w:p w14:paraId="68EBDC00" w14:textId="67801497" w:rsidR="0079244F" w:rsidRPr="0079244F" w:rsidRDefault="0079244F" w:rsidP="0079244F">
      <w:pPr>
        <w:pStyle w:val="Grundtext"/>
        <w:numPr>
          <w:ilvl w:val="0"/>
          <w:numId w:val="10"/>
        </w:numPr>
        <w:rPr>
          <w:lang w:val="de-DE"/>
        </w:rPr>
      </w:pPr>
      <w:r w:rsidRPr="0079244F">
        <w:rPr>
          <w:lang w:val="de-DE"/>
        </w:rPr>
        <w:t>Altersrente der AHV</w:t>
      </w:r>
    </w:p>
    <w:p w14:paraId="1C197523" w14:textId="77777777" w:rsidR="0079244F" w:rsidRDefault="0079244F" w:rsidP="0079244F">
      <w:pPr>
        <w:pStyle w:val="Grundtext"/>
        <w:numPr>
          <w:ilvl w:val="0"/>
          <w:numId w:val="10"/>
        </w:numPr>
        <w:rPr>
          <w:lang w:val="de-DE"/>
        </w:rPr>
      </w:pPr>
      <w:r w:rsidRPr="0079244F">
        <w:rPr>
          <w:lang w:val="de-DE"/>
        </w:rPr>
        <w:t xml:space="preserve">Witwen- oder Witwerrente der AHV </w:t>
      </w:r>
    </w:p>
    <w:p w14:paraId="01CE4B0F" w14:textId="37A2DD6A" w:rsidR="0079244F" w:rsidRPr="0079244F" w:rsidRDefault="0079244F" w:rsidP="0079244F">
      <w:pPr>
        <w:pStyle w:val="Grundtext"/>
        <w:numPr>
          <w:ilvl w:val="0"/>
          <w:numId w:val="10"/>
        </w:numPr>
        <w:rPr>
          <w:lang w:val="de-DE"/>
        </w:rPr>
      </w:pPr>
      <w:r w:rsidRPr="0079244F">
        <w:rPr>
          <w:lang w:val="de-DE"/>
        </w:rPr>
        <w:t>Waisenrente der AHV</w:t>
      </w:r>
    </w:p>
    <w:p w14:paraId="2DC6D620" w14:textId="77777777" w:rsidR="0079244F" w:rsidRDefault="0079244F" w:rsidP="0079244F">
      <w:pPr>
        <w:pStyle w:val="Grundtext"/>
        <w:numPr>
          <w:ilvl w:val="0"/>
          <w:numId w:val="10"/>
        </w:numPr>
        <w:rPr>
          <w:lang w:val="de-DE"/>
        </w:rPr>
      </w:pPr>
      <w:r>
        <w:rPr>
          <w:lang w:val="de-DE"/>
        </w:rPr>
        <w:t>Invalidenr</w:t>
      </w:r>
      <w:r w:rsidRPr="0079244F">
        <w:rPr>
          <w:lang w:val="de-DE"/>
        </w:rPr>
        <w:t xml:space="preserve">ente oder Hilflosenentschädigung der Invalidenversicherung </w:t>
      </w:r>
    </w:p>
    <w:p w14:paraId="56D3E311" w14:textId="1DDB283B" w:rsidR="0079244F" w:rsidRDefault="0079244F" w:rsidP="0079244F">
      <w:pPr>
        <w:pStyle w:val="Grundtext"/>
        <w:numPr>
          <w:ilvl w:val="0"/>
          <w:numId w:val="10"/>
        </w:numPr>
        <w:rPr>
          <w:lang w:val="de-DE"/>
        </w:rPr>
      </w:pPr>
      <w:r w:rsidRPr="0079244F">
        <w:rPr>
          <w:lang w:val="de-DE"/>
        </w:rPr>
        <w:t xml:space="preserve">Taggeld der IV </w:t>
      </w:r>
      <w:r>
        <w:rPr>
          <w:lang w:val="de-DE"/>
        </w:rPr>
        <w:t xml:space="preserve">(Bezug </w:t>
      </w:r>
      <w:r w:rsidRPr="0079244F">
        <w:rPr>
          <w:lang w:val="de-DE"/>
        </w:rPr>
        <w:t>ununterbrochen währe</w:t>
      </w:r>
      <w:r>
        <w:rPr>
          <w:lang w:val="de-DE"/>
        </w:rPr>
        <w:t>nd mindestens sechs M</w:t>
      </w:r>
      <w:r>
        <w:rPr>
          <w:lang w:val="de-DE"/>
        </w:rPr>
        <w:t>o</w:t>
      </w:r>
      <w:r>
        <w:rPr>
          <w:lang w:val="de-DE"/>
        </w:rPr>
        <w:t>naten)</w:t>
      </w:r>
    </w:p>
    <w:p w14:paraId="6B9C6C3E" w14:textId="25077181" w:rsidR="00143E91" w:rsidRDefault="00143E91" w:rsidP="00143E91">
      <w:pPr>
        <w:pStyle w:val="Grundtext"/>
        <w:rPr>
          <w:lang w:val="de-DE"/>
        </w:rPr>
      </w:pPr>
      <w:r>
        <w:rPr>
          <w:lang w:val="de-DE"/>
        </w:rPr>
        <w:t>Die Ergänzungsleistungen umfassen einerseits eine jährliche Ergänzungslei</w:t>
      </w:r>
      <w:r>
        <w:rPr>
          <w:lang w:val="de-DE"/>
        </w:rPr>
        <w:t>s</w:t>
      </w:r>
      <w:r>
        <w:rPr>
          <w:lang w:val="de-DE"/>
        </w:rPr>
        <w:t>tung</w:t>
      </w:r>
      <w:r w:rsidR="0011563E">
        <w:rPr>
          <w:rStyle w:val="Funotenzeichen"/>
          <w:lang w:val="de-DE"/>
        </w:rPr>
        <w:footnoteReference w:id="114"/>
      </w:r>
      <w:r w:rsidR="00933A83">
        <w:rPr>
          <w:lang w:val="de-DE"/>
        </w:rPr>
        <w:t xml:space="preserve"> </w:t>
      </w:r>
      <w:r>
        <w:rPr>
          <w:lang w:val="de-DE"/>
        </w:rPr>
        <w:t>und andererseits eine Vergütung für Krankheits- und Behinderungsko</w:t>
      </w:r>
      <w:r>
        <w:rPr>
          <w:lang w:val="de-DE"/>
        </w:rPr>
        <w:t>s</w:t>
      </w:r>
      <w:r>
        <w:rPr>
          <w:lang w:val="de-DE"/>
        </w:rPr>
        <w:t>ten</w:t>
      </w:r>
      <w:r>
        <w:rPr>
          <w:rStyle w:val="Funotenzeichen"/>
          <w:lang w:val="de-DE"/>
        </w:rPr>
        <w:footnoteReference w:id="115"/>
      </w:r>
      <w:r w:rsidR="000F7FF8">
        <w:rPr>
          <w:lang w:val="de-DE"/>
        </w:rPr>
        <w:t>.</w:t>
      </w:r>
      <w:r>
        <w:rPr>
          <w:lang w:val="de-DE"/>
        </w:rPr>
        <w:t xml:space="preserve"> </w:t>
      </w:r>
      <w:r w:rsidRPr="00143E91">
        <w:rPr>
          <w:lang w:val="de-DE"/>
        </w:rPr>
        <w:t>Die jährliche Ergänzungsleistung ist eine Geldleistung, die Vergütung von Krankheits- und Behinderungskosten eine Sachleistung</w:t>
      </w:r>
      <w:r>
        <w:rPr>
          <w:rStyle w:val="Funotenzeichen"/>
          <w:lang w:val="de-DE"/>
        </w:rPr>
        <w:footnoteReference w:id="116"/>
      </w:r>
      <w:r w:rsidR="000F7FF8">
        <w:rPr>
          <w:lang w:val="de-DE"/>
        </w:rPr>
        <w:t>.</w:t>
      </w:r>
    </w:p>
    <w:p w14:paraId="7624DF34" w14:textId="0C2A6197" w:rsidR="00143E91" w:rsidRPr="00143E91" w:rsidRDefault="00143E91" w:rsidP="00143E91">
      <w:pPr>
        <w:pStyle w:val="Grundtext"/>
        <w:rPr>
          <w:lang w:val="de-DE"/>
        </w:rPr>
      </w:pPr>
      <w:r w:rsidRPr="00143E91">
        <w:rPr>
          <w:lang w:val="de-DE"/>
        </w:rPr>
        <w:t>Die jährliche Ergänzungsleistung für rentenberechtigte Hinterlassene wird wie folgt berechnet</w:t>
      </w:r>
      <w:r>
        <w:rPr>
          <w:rStyle w:val="Funotenzeichen"/>
          <w:lang w:val="de-DE"/>
        </w:rPr>
        <w:footnoteReference w:id="117"/>
      </w:r>
      <w:r w:rsidRPr="00143E91">
        <w:rPr>
          <w:lang w:val="de-DE"/>
        </w:rPr>
        <w:t>:</w:t>
      </w:r>
    </w:p>
    <w:p w14:paraId="65D48F30" w14:textId="77777777" w:rsidR="00143E91" w:rsidRPr="00143E91" w:rsidRDefault="00143E91" w:rsidP="00143E91">
      <w:pPr>
        <w:pStyle w:val="Grundtext"/>
        <w:numPr>
          <w:ilvl w:val="0"/>
          <w:numId w:val="11"/>
        </w:numPr>
        <w:rPr>
          <w:lang w:val="de-DE"/>
        </w:rPr>
      </w:pPr>
      <w:r w:rsidRPr="00143E91">
        <w:rPr>
          <w:lang w:val="de-DE"/>
        </w:rPr>
        <w:t>Für die zusammenlebenden rentenberechtigten Hinterlassenen erfolgt eine gemeinsame Berechnung.</w:t>
      </w:r>
    </w:p>
    <w:p w14:paraId="01838CE9" w14:textId="77777777" w:rsidR="00143E91" w:rsidRPr="00143E91" w:rsidRDefault="00143E91" w:rsidP="00143E91">
      <w:pPr>
        <w:pStyle w:val="Grundtext"/>
        <w:numPr>
          <w:ilvl w:val="0"/>
          <w:numId w:val="11"/>
        </w:numPr>
        <w:rPr>
          <w:lang w:val="de-DE"/>
        </w:rPr>
      </w:pPr>
      <w:r w:rsidRPr="00143E91">
        <w:rPr>
          <w:lang w:val="de-DE"/>
        </w:rPr>
        <w:t>Leben die rentenberechtigten Hinterlassenen getrennt, so ist die Ergä</w:t>
      </w:r>
      <w:r w:rsidRPr="00143E91">
        <w:rPr>
          <w:lang w:val="de-DE"/>
        </w:rPr>
        <w:t>n</w:t>
      </w:r>
      <w:r w:rsidRPr="00143E91">
        <w:rPr>
          <w:lang w:val="de-DE"/>
        </w:rPr>
        <w:t>zungsleistung gesondert zu berechnen.</w:t>
      </w:r>
    </w:p>
    <w:p w14:paraId="35C4053E" w14:textId="1811B231" w:rsidR="00143E91" w:rsidRDefault="00143E91" w:rsidP="00143E91">
      <w:pPr>
        <w:pStyle w:val="Grundtext"/>
        <w:rPr>
          <w:lang w:val="de-DE"/>
        </w:rPr>
      </w:pPr>
      <w:r w:rsidRPr="00143E91">
        <w:rPr>
          <w:lang w:val="de-DE"/>
        </w:rPr>
        <w:t>Bei einer eigenen Berechnung für Waisen ist das Einkommen von Vater oder Mutter nebst allfälligen Unterstützungsleistungen des Stiefvaters oder der Stie</w:t>
      </w:r>
      <w:r w:rsidRPr="00143E91">
        <w:rPr>
          <w:lang w:val="de-DE"/>
        </w:rPr>
        <w:t>f</w:t>
      </w:r>
      <w:r w:rsidRPr="00143E91">
        <w:rPr>
          <w:lang w:val="de-DE"/>
        </w:rPr>
        <w:t>mutter zu berücksichtigen, soweit es deren eigenen Unterhalt und den der übr</w:t>
      </w:r>
      <w:r w:rsidRPr="00143E91">
        <w:rPr>
          <w:lang w:val="de-DE"/>
        </w:rPr>
        <w:t>i</w:t>
      </w:r>
      <w:r w:rsidRPr="00143E91">
        <w:rPr>
          <w:lang w:val="de-DE"/>
        </w:rPr>
        <w:t>gen unterhaltsberechtigten Familienangehörigen übersteigt</w:t>
      </w:r>
      <w:r>
        <w:rPr>
          <w:rStyle w:val="Funotenzeichen"/>
          <w:lang w:val="de-DE"/>
        </w:rPr>
        <w:footnoteReference w:id="118"/>
      </w:r>
      <w:r w:rsidR="000F7FF8">
        <w:rPr>
          <w:lang w:val="de-DE"/>
        </w:rPr>
        <w:t>.</w:t>
      </w:r>
    </w:p>
    <w:p w14:paraId="1D702B18" w14:textId="5AB3BE4C" w:rsidR="0079244F" w:rsidRDefault="00143E91" w:rsidP="00143E91">
      <w:pPr>
        <w:pStyle w:val="berschrift3"/>
        <w:rPr>
          <w:lang w:val="de-DE"/>
        </w:rPr>
      </w:pPr>
      <w:bookmarkStart w:id="59" w:name="_Toc246328776"/>
      <w:r>
        <w:rPr>
          <w:lang w:val="de-DE"/>
        </w:rPr>
        <w:t>Indirekte Anspruchsberechtigung des Kindes</w:t>
      </w:r>
      <w:bookmarkEnd w:id="59"/>
    </w:p>
    <w:p w14:paraId="25DAA45F" w14:textId="0EDEB4FA" w:rsidR="005B7748" w:rsidRPr="005B7748" w:rsidRDefault="00143E91" w:rsidP="005B7748">
      <w:pPr>
        <w:pStyle w:val="Grundtext"/>
        <w:rPr>
          <w:lang w:val="de-DE"/>
        </w:rPr>
      </w:pPr>
      <w:r>
        <w:rPr>
          <w:lang w:val="de-DE"/>
        </w:rPr>
        <w:t>Kinder, die weder eine Waisenrente der AHV noch eine Hilflosenentschädigu</w:t>
      </w:r>
      <w:r>
        <w:rPr>
          <w:lang w:val="de-DE"/>
        </w:rPr>
        <w:t>n</w:t>
      </w:r>
      <w:r>
        <w:rPr>
          <w:lang w:val="de-DE"/>
        </w:rPr>
        <w:t>gen der IV erhalten, sind nicht direkt anspruchsberechtigt.</w:t>
      </w:r>
      <w:r w:rsidR="00933A83">
        <w:rPr>
          <w:lang w:val="de-DE"/>
        </w:rPr>
        <w:t xml:space="preserve"> </w:t>
      </w:r>
      <w:r w:rsidR="00BE5385">
        <w:rPr>
          <w:lang w:val="de-DE"/>
        </w:rPr>
        <w:t>Erfüllen deren Eltern die Anspruchsvoraussetzungen und erhalten diese eine Kinderrente der AHV oder IV, werden die Kinder in die Ergänzungsleistungsberechtigung der Eltern miteinbezogen.</w:t>
      </w:r>
    </w:p>
    <w:p w14:paraId="78A393FC" w14:textId="54C1000B" w:rsidR="005B7748" w:rsidRPr="005B7748" w:rsidRDefault="005B7748" w:rsidP="005B7748">
      <w:pPr>
        <w:pStyle w:val="Grundtext"/>
        <w:rPr>
          <w:lang w:val="de-DE"/>
        </w:rPr>
      </w:pPr>
      <w:r w:rsidRPr="005B7748">
        <w:rPr>
          <w:lang w:val="de-DE"/>
        </w:rPr>
        <w:t>Die jährliche Ergänzungsleistung für Kinder, die einen Anspruch auf eine Ki</w:t>
      </w:r>
      <w:r w:rsidRPr="005B7748">
        <w:rPr>
          <w:lang w:val="de-DE"/>
        </w:rPr>
        <w:t>n</w:t>
      </w:r>
      <w:r w:rsidRPr="005B7748">
        <w:rPr>
          <w:lang w:val="de-DE"/>
        </w:rPr>
        <w:t xml:space="preserve">derrente der AHV oder der IV begründen, wird </w:t>
      </w:r>
      <w:r w:rsidR="000D5A58">
        <w:rPr>
          <w:lang w:val="de-DE"/>
        </w:rPr>
        <w:t xml:space="preserve">gemäss Art. 7 ELV </w:t>
      </w:r>
      <w:r w:rsidRPr="005B7748">
        <w:rPr>
          <w:lang w:val="de-DE"/>
        </w:rPr>
        <w:t>wie folgt berechnet</w:t>
      </w:r>
      <w:r w:rsidR="00BE5385">
        <w:rPr>
          <w:lang w:val="de-DE"/>
        </w:rPr>
        <w:t>:</w:t>
      </w:r>
    </w:p>
    <w:p w14:paraId="2E7C19C2" w14:textId="2F469FE2" w:rsidR="005B7748" w:rsidRPr="005B7748" w:rsidRDefault="005B7748" w:rsidP="005B7748">
      <w:pPr>
        <w:pStyle w:val="Grundtext"/>
        <w:numPr>
          <w:ilvl w:val="0"/>
          <w:numId w:val="9"/>
        </w:numPr>
        <w:rPr>
          <w:lang w:val="de-DE"/>
        </w:rPr>
      </w:pPr>
      <w:r w:rsidRPr="005B7748">
        <w:rPr>
          <w:lang w:val="de-DE"/>
        </w:rPr>
        <w:t xml:space="preserve">Leben die Kinder mit den Eltern zusammen, erfolgt eine gemeinsame Berechnung </w:t>
      </w:r>
      <w:r w:rsidR="00804553">
        <w:rPr>
          <w:lang w:val="de-DE"/>
        </w:rPr>
        <w:t>der Ergänzungsleistung (lit. a)</w:t>
      </w:r>
      <w:r w:rsidR="003D7E4B">
        <w:rPr>
          <w:lang w:val="de-DE"/>
        </w:rPr>
        <w:t>.</w:t>
      </w:r>
    </w:p>
    <w:p w14:paraId="73B6DAD5" w14:textId="43706CDB" w:rsidR="005B7748" w:rsidRPr="005B7748" w:rsidRDefault="005B7748" w:rsidP="005B7748">
      <w:pPr>
        <w:pStyle w:val="Grundtext"/>
        <w:numPr>
          <w:ilvl w:val="0"/>
          <w:numId w:val="9"/>
        </w:numPr>
        <w:rPr>
          <w:lang w:val="de-DE"/>
        </w:rPr>
      </w:pPr>
      <w:r w:rsidRPr="005B7748">
        <w:rPr>
          <w:lang w:val="de-DE"/>
        </w:rPr>
        <w:t>Leben die Kinder nur mit einem Elternteil zusammen, der rentenberec</w:t>
      </w:r>
      <w:r w:rsidRPr="005B7748">
        <w:rPr>
          <w:lang w:val="de-DE"/>
        </w:rPr>
        <w:t>h</w:t>
      </w:r>
      <w:r w:rsidRPr="005B7748">
        <w:rPr>
          <w:lang w:val="de-DE"/>
        </w:rPr>
        <w:t>tigt ist oder für den Anspruch auf eine Zusatzrente der AHV besteht, so wird die Ergänzungsleistung zusammen mit diesem Elternteil fe</w:t>
      </w:r>
      <w:r w:rsidR="00804553">
        <w:rPr>
          <w:lang w:val="de-DE"/>
        </w:rPr>
        <w:t>stgelegt (lit. b)</w:t>
      </w:r>
      <w:r w:rsidR="003D7E4B">
        <w:rPr>
          <w:lang w:val="de-DE"/>
        </w:rPr>
        <w:t>.</w:t>
      </w:r>
    </w:p>
    <w:p w14:paraId="23D9DA76" w14:textId="4B0CF08A" w:rsidR="005B7748" w:rsidRPr="005B7748" w:rsidRDefault="005B7748" w:rsidP="005B7748">
      <w:pPr>
        <w:pStyle w:val="Grundtext"/>
        <w:numPr>
          <w:ilvl w:val="0"/>
          <w:numId w:val="9"/>
        </w:numPr>
        <w:rPr>
          <w:lang w:val="de-DE"/>
        </w:rPr>
      </w:pPr>
      <w:r w:rsidRPr="005B7748">
        <w:rPr>
          <w:lang w:val="de-DE"/>
        </w:rPr>
        <w:t>Lebt das Kind nicht bei den Eltern oder lebt es bei einem Elternteil, der nicht rentenberechtigt ist und für den auch kein Anspruch auf eine Z</w:t>
      </w:r>
      <w:r w:rsidRPr="005B7748">
        <w:rPr>
          <w:lang w:val="de-DE"/>
        </w:rPr>
        <w:t>u</w:t>
      </w:r>
      <w:r w:rsidRPr="005B7748">
        <w:rPr>
          <w:lang w:val="de-DE"/>
        </w:rPr>
        <w:t xml:space="preserve">satzrente besteht, so ist die Ergänzungsleistung </w:t>
      </w:r>
      <w:r w:rsidR="00804553">
        <w:rPr>
          <w:lang w:val="de-DE"/>
        </w:rPr>
        <w:t>gesondert zu berechnen (lit. c)</w:t>
      </w:r>
      <w:r w:rsidR="003D7E4B">
        <w:rPr>
          <w:lang w:val="de-DE"/>
        </w:rPr>
        <w:t>.</w:t>
      </w:r>
    </w:p>
    <w:p w14:paraId="5AFE73CE" w14:textId="39AACE7E" w:rsidR="001906EB" w:rsidRDefault="00DA03C9" w:rsidP="001906EB">
      <w:pPr>
        <w:pStyle w:val="berschrift3"/>
        <w:rPr>
          <w:lang w:val="de-DE"/>
        </w:rPr>
      </w:pPr>
      <w:bookmarkStart w:id="60" w:name="_Toc246328777"/>
      <w:r>
        <w:rPr>
          <w:lang w:val="de-DE"/>
        </w:rPr>
        <w:t>Bei der Berechnung der Ergänzungsleistung der Eltern nicht zu berücksichtigende Kinder</w:t>
      </w:r>
      <w:bookmarkEnd w:id="60"/>
    </w:p>
    <w:p w14:paraId="120F63BC" w14:textId="32D10E1E" w:rsidR="00DA03C9" w:rsidRPr="00DA03C9" w:rsidRDefault="00DA03C9" w:rsidP="00DA03C9">
      <w:pPr>
        <w:pStyle w:val="Grundtext"/>
        <w:rPr>
          <w:lang w:val="de-DE"/>
        </w:rPr>
      </w:pPr>
      <w:r w:rsidRPr="00DA03C9">
        <w:rPr>
          <w:lang w:val="de-DE"/>
        </w:rPr>
        <w:t>Minderjährige Kinder, die weder Anspruch auf eine Waisenrente haben noch Anspruch auf eine Kinderrente der AHV oder der IV begründen, fallen mit ihren vom Gesetz anerkannten Ausgaben und anrechenbaren Einnahmen und ihrem Vermögen bei der Berechnung der jährlichen Ergänzungsleistung</w:t>
      </w:r>
      <w:r>
        <w:rPr>
          <w:lang w:val="de-DE"/>
        </w:rPr>
        <w:t xml:space="preserve"> der Eltern</w:t>
      </w:r>
      <w:r w:rsidRPr="00DA03C9">
        <w:rPr>
          <w:lang w:val="de-DE"/>
        </w:rPr>
        <w:t xml:space="preserve"> ausser Betracht</w:t>
      </w:r>
      <w:r>
        <w:rPr>
          <w:rStyle w:val="Funotenzeichen"/>
          <w:lang w:val="de-DE"/>
        </w:rPr>
        <w:footnoteReference w:id="119"/>
      </w:r>
      <w:r w:rsidR="000F7FF8">
        <w:rPr>
          <w:lang w:val="de-DE"/>
        </w:rPr>
        <w:t>.</w:t>
      </w:r>
    </w:p>
    <w:p w14:paraId="6BFB9A93" w14:textId="2FFDBCFE" w:rsidR="00DA03C9" w:rsidRPr="00DA03C9" w:rsidRDefault="00DA03C9" w:rsidP="00DA03C9">
      <w:pPr>
        <w:pStyle w:val="Grundtext"/>
      </w:pPr>
      <w:r w:rsidRPr="00DA03C9">
        <w:rPr>
          <w:lang w:val="de-DE"/>
        </w:rPr>
        <w:t>Kinder, die einen Anspruch auf eine Waisenrente haben oder einen Anspruch auf eine Kinderrente der AHV oder der IV begründen und deren anrechenbare Ei</w:t>
      </w:r>
      <w:r w:rsidRPr="00DA03C9">
        <w:rPr>
          <w:lang w:val="de-DE"/>
        </w:rPr>
        <w:t>n</w:t>
      </w:r>
      <w:r w:rsidRPr="00DA03C9">
        <w:rPr>
          <w:lang w:val="de-DE"/>
        </w:rPr>
        <w:t>nahmen die anerkannten Ausgaben erreichen oder übersteigen, fallen nach Art</w:t>
      </w:r>
      <w:r w:rsidRPr="00DA03C9">
        <w:rPr>
          <w:lang w:val="de-DE"/>
        </w:rPr>
        <w:t>i</w:t>
      </w:r>
      <w:r w:rsidRPr="00DA03C9">
        <w:rPr>
          <w:lang w:val="de-DE"/>
        </w:rPr>
        <w:t>kel 9 Absatz 4 ELG bei der Berechnung der jährlichen Ergänzungsleistung au</w:t>
      </w:r>
      <w:r w:rsidRPr="00DA03C9">
        <w:rPr>
          <w:lang w:val="de-DE"/>
        </w:rPr>
        <w:t>s</w:t>
      </w:r>
      <w:r w:rsidRPr="00DA03C9">
        <w:rPr>
          <w:lang w:val="de-DE"/>
        </w:rPr>
        <w:t>ser Betracht. Um festzustellen, welche Kinder bei der Berechnung der jährlichen Ergänzungsleistung ausser Betracht fallen, sind die anrechenbaren Einnahmen und anerkannten Ausgaben der Kinder, auf die dies zutreffen könnte, einander gegenüberzustellen</w:t>
      </w:r>
      <w:r>
        <w:rPr>
          <w:rStyle w:val="Funotenzeichen"/>
          <w:lang w:val="de-DE"/>
        </w:rPr>
        <w:footnoteReference w:id="120"/>
      </w:r>
      <w:r w:rsidR="000F7FF8">
        <w:rPr>
          <w:lang w:val="de-DE"/>
        </w:rPr>
        <w:t>.</w:t>
      </w:r>
    </w:p>
    <w:p w14:paraId="790C29E7" w14:textId="3783ED13" w:rsidR="001906EB" w:rsidRPr="001906EB" w:rsidRDefault="001906EB" w:rsidP="001906EB">
      <w:pPr>
        <w:pStyle w:val="berschrift2"/>
        <w:rPr>
          <w:lang w:val="de-DE"/>
        </w:rPr>
      </w:pPr>
      <w:bookmarkStart w:id="61" w:name="_Toc246328778"/>
      <w:r w:rsidRPr="001906EB">
        <w:rPr>
          <w:lang w:val="de-DE"/>
        </w:rPr>
        <w:t>Auswirkung</w:t>
      </w:r>
      <w:r w:rsidR="00D32ABB">
        <w:rPr>
          <w:lang w:val="de-DE"/>
        </w:rPr>
        <w:t>en</w:t>
      </w:r>
      <w:r w:rsidRPr="001906EB">
        <w:rPr>
          <w:lang w:val="de-DE"/>
        </w:rPr>
        <w:t xml:space="preserve"> </w:t>
      </w:r>
      <w:r w:rsidR="00D32ABB">
        <w:rPr>
          <w:lang w:val="de-DE"/>
        </w:rPr>
        <w:t xml:space="preserve">einer Behinderung des Kindes </w:t>
      </w:r>
      <w:r w:rsidRPr="001906EB">
        <w:rPr>
          <w:lang w:val="de-DE"/>
        </w:rPr>
        <w:t xml:space="preserve">auf </w:t>
      </w:r>
      <w:r w:rsidR="00D32ABB">
        <w:rPr>
          <w:lang w:val="de-DE"/>
        </w:rPr>
        <w:t xml:space="preserve">die </w:t>
      </w:r>
      <w:r w:rsidRPr="001906EB">
        <w:rPr>
          <w:lang w:val="de-DE"/>
        </w:rPr>
        <w:t>sozialversicherungsrechtliche Stellung der Eltern</w:t>
      </w:r>
      <w:bookmarkEnd w:id="61"/>
    </w:p>
    <w:p w14:paraId="37374AF8" w14:textId="4A999657" w:rsidR="000B5C4B" w:rsidRDefault="000B5C4B" w:rsidP="001906EB">
      <w:pPr>
        <w:pStyle w:val="berschrift3"/>
        <w:rPr>
          <w:lang w:val="de-DE"/>
        </w:rPr>
      </w:pPr>
      <w:bookmarkStart w:id="62" w:name="_Toc246328779"/>
      <w:r>
        <w:rPr>
          <w:lang w:val="de-DE"/>
        </w:rPr>
        <w:t>Allgemeines</w:t>
      </w:r>
      <w:bookmarkEnd w:id="62"/>
    </w:p>
    <w:p w14:paraId="3169576F" w14:textId="43C83B0D" w:rsidR="00CE182D" w:rsidRDefault="00D32ABB" w:rsidP="000B5C4B">
      <w:pPr>
        <w:pStyle w:val="Grundtext"/>
      </w:pPr>
      <w:r>
        <w:t>Die Kernfamilie stellt eine sozialversicherungsrechtliche Einheit dar.</w:t>
      </w:r>
      <w:r w:rsidR="00CE182D">
        <w:t xml:space="preserve"> Es best</w:t>
      </w:r>
      <w:r w:rsidR="00CE182D">
        <w:t>e</w:t>
      </w:r>
      <w:r w:rsidR="00CE182D">
        <w:t>hen deshalb mannigfaltige Interdependenzen zwischen der sozialversicherung</w:t>
      </w:r>
      <w:r w:rsidR="00CE182D">
        <w:t>s</w:t>
      </w:r>
      <w:r w:rsidR="00CE182D">
        <w:t>rechtlichen Stellung der Eltern und ihren Kinder</w:t>
      </w:r>
      <w:r w:rsidR="00747A74">
        <w:t>n</w:t>
      </w:r>
      <w:r w:rsidR="00CE182D">
        <w:t>.</w:t>
      </w:r>
      <w:r>
        <w:t xml:space="preserve"> Eltern, die selber gesundhei</w:t>
      </w:r>
      <w:r>
        <w:t>t</w:t>
      </w:r>
      <w:r>
        <w:t>lich beeinträchtigt sind,</w:t>
      </w:r>
      <w:r w:rsidR="00CE182D">
        <w:t xml:space="preserve"> erhalten etwa</w:t>
      </w:r>
      <w:r>
        <w:t xml:space="preserve"> Zusatzleistungen für ihre Kinder</w:t>
      </w:r>
      <w:r w:rsidR="00CE182D">
        <w:t>.</w:t>
      </w:r>
      <w:r w:rsidR="00933A83">
        <w:t xml:space="preserve"> </w:t>
      </w:r>
      <w:r w:rsidR="00CE182D">
        <w:t xml:space="preserve">Zu den gesetzlich geregelten Zusatzleistungen zählen beispielsweise das </w:t>
      </w:r>
      <w:r>
        <w:t>Kindergeld</w:t>
      </w:r>
      <w:r>
        <w:rPr>
          <w:rStyle w:val="Funotenzeichen"/>
        </w:rPr>
        <w:footnoteReference w:id="121"/>
      </w:r>
      <w:r w:rsidR="000F7FF8">
        <w:t>,</w:t>
      </w:r>
      <w:r w:rsidR="00CE182D">
        <w:t xml:space="preserve"> die </w:t>
      </w:r>
      <w:r>
        <w:t>Kinderrente</w:t>
      </w:r>
      <w:r>
        <w:rPr>
          <w:rStyle w:val="Funotenzeichen"/>
        </w:rPr>
        <w:footnoteReference w:id="122"/>
      </w:r>
      <w:r>
        <w:t xml:space="preserve"> </w:t>
      </w:r>
      <w:r w:rsidR="00CE182D">
        <w:t>und die</w:t>
      </w:r>
      <w:r>
        <w:t xml:space="preserve"> Entschädigung für Betreuungskosten</w:t>
      </w:r>
      <w:r>
        <w:rPr>
          <w:rStyle w:val="Funotenzeichen"/>
        </w:rPr>
        <w:footnoteReference w:id="123"/>
      </w:r>
      <w:r w:rsidR="000F7FF8">
        <w:t>.</w:t>
      </w:r>
      <w:r>
        <w:t xml:space="preserve"> </w:t>
      </w:r>
    </w:p>
    <w:p w14:paraId="5F43E448" w14:textId="33148F8D" w:rsidR="000B5C4B" w:rsidRDefault="00D32ABB" w:rsidP="000B5C4B">
      <w:pPr>
        <w:pStyle w:val="Grundtext"/>
        <w:rPr>
          <w:lang w:val="de-DE"/>
        </w:rPr>
      </w:pPr>
      <w:r>
        <w:t>Eltern</w:t>
      </w:r>
      <w:r w:rsidR="00CE182D">
        <w:t xml:space="preserve"> können sodann</w:t>
      </w:r>
      <w:r>
        <w:t xml:space="preserve"> gestützt auf ihre eigenen Grundrechte Zusatzleistungen beanspruchen, wenn </w:t>
      </w:r>
      <w:r w:rsidR="000B4417">
        <w:t>ihre</w:t>
      </w:r>
      <w:r>
        <w:t xml:space="preserve"> Kontaktrecht</w:t>
      </w:r>
      <w:r w:rsidR="00804553">
        <w:t>e</w:t>
      </w:r>
      <w:r>
        <w:t xml:space="preserve"> zu den Kindern unverhältnismässig beeinträchtigt </w:t>
      </w:r>
      <w:r w:rsidR="00942544">
        <w:t>werden</w:t>
      </w:r>
      <w:r w:rsidR="00942544">
        <w:rPr>
          <w:rStyle w:val="Funotenzeichen"/>
        </w:rPr>
        <w:footnoteReference w:id="124"/>
      </w:r>
      <w:r w:rsidR="000F7FF8">
        <w:t>.</w:t>
      </w:r>
      <w:r>
        <w:t xml:space="preserve"> </w:t>
      </w:r>
      <w:r w:rsidR="00356E89" w:rsidRPr="00356E89">
        <w:rPr>
          <w:lang w:val="de-DE"/>
        </w:rPr>
        <w:t>Die Invalidenversicherung hat sich</w:t>
      </w:r>
      <w:r w:rsidR="00356E89">
        <w:rPr>
          <w:lang w:val="de-DE"/>
        </w:rPr>
        <w:t xml:space="preserve"> insbesondere </w:t>
      </w:r>
      <w:r w:rsidR="00356E89" w:rsidRPr="00356E89">
        <w:rPr>
          <w:lang w:val="de-DE"/>
        </w:rPr>
        <w:t>an den Kosten der Anpassungen am Wohnhaus zu beteiligen, wenn ohne behinderung</w:t>
      </w:r>
      <w:r w:rsidR="00356E89" w:rsidRPr="00356E89">
        <w:rPr>
          <w:lang w:val="de-DE"/>
        </w:rPr>
        <w:t>s</w:t>
      </w:r>
      <w:r w:rsidR="00356E89" w:rsidRPr="00356E89">
        <w:rPr>
          <w:lang w:val="de-DE"/>
        </w:rPr>
        <w:t xml:space="preserve">gerechten Umbau der grundrechtlich geschützte Aufenthalt beim </w:t>
      </w:r>
      <w:r w:rsidR="00356E89">
        <w:rPr>
          <w:lang w:val="de-DE"/>
        </w:rPr>
        <w:t>querschnittge</w:t>
      </w:r>
      <w:r w:rsidR="00CE182D">
        <w:rPr>
          <w:lang w:val="de-DE"/>
        </w:rPr>
        <w:softHyphen/>
      </w:r>
      <w:r w:rsidR="00356E89">
        <w:rPr>
          <w:lang w:val="de-DE"/>
        </w:rPr>
        <w:t xml:space="preserve">lähmten </w:t>
      </w:r>
      <w:r w:rsidR="00356E89" w:rsidRPr="00356E89">
        <w:rPr>
          <w:lang w:val="de-DE"/>
        </w:rPr>
        <w:t xml:space="preserve">Vater völlig verunmöglicht würde. </w:t>
      </w:r>
      <w:r w:rsidR="00356E89">
        <w:rPr>
          <w:lang w:val="de-DE"/>
        </w:rPr>
        <w:t>Handelt es sich</w:t>
      </w:r>
      <w:r w:rsidR="00356E89" w:rsidRPr="00356E89">
        <w:rPr>
          <w:lang w:val="de-DE"/>
        </w:rPr>
        <w:t xml:space="preserve"> um die zweite vom Versicherten benutzte Wohnung, besteht nur Anspruch auf Anpassung in ei</w:t>
      </w:r>
      <w:r w:rsidR="00356E89" w:rsidRPr="00356E89">
        <w:rPr>
          <w:lang w:val="de-DE"/>
        </w:rPr>
        <w:t>n</w:t>
      </w:r>
      <w:r w:rsidR="00356E89" w:rsidRPr="00356E89">
        <w:rPr>
          <w:lang w:val="de-DE"/>
        </w:rPr>
        <w:t>fachster Ausführung, welche unter Berücksichtigung der dem Vater zumutbaren Hilfestellungen den Aufenthalt im Haus gerade noch ermög</w:t>
      </w:r>
      <w:r w:rsidR="00356E89">
        <w:rPr>
          <w:lang w:val="de-DE"/>
        </w:rPr>
        <w:t>licht</w:t>
      </w:r>
      <w:r w:rsidR="00356E89">
        <w:rPr>
          <w:rStyle w:val="Funotenzeichen"/>
          <w:lang w:val="de-DE"/>
        </w:rPr>
        <w:footnoteReference w:id="125"/>
      </w:r>
      <w:r w:rsidR="000F7FF8">
        <w:rPr>
          <w:lang w:val="de-DE"/>
        </w:rPr>
        <w:t>.</w:t>
      </w:r>
    </w:p>
    <w:p w14:paraId="3C2F677F" w14:textId="3A0C4673" w:rsidR="00CE182D" w:rsidRDefault="00CE182D" w:rsidP="000B5C4B">
      <w:pPr>
        <w:pStyle w:val="Grundtext"/>
        <w:rPr>
          <w:lang w:val="de-DE"/>
        </w:rPr>
      </w:pPr>
      <w:r>
        <w:rPr>
          <w:lang w:val="de-DE"/>
        </w:rPr>
        <w:t xml:space="preserve">Eine weitere Interdependenz besteht in koordinationsrechtlicher Hinsicht. </w:t>
      </w:r>
      <w:r w:rsidRPr="00ED225C">
        <w:rPr>
          <w:lang w:val="de-DE"/>
        </w:rPr>
        <w:t>Ung</w:t>
      </w:r>
      <w:r w:rsidRPr="00ED225C">
        <w:rPr>
          <w:lang w:val="de-DE"/>
        </w:rPr>
        <w:t>e</w:t>
      </w:r>
      <w:r w:rsidRPr="00ED225C">
        <w:rPr>
          <w:lang w:val="de-DE"/>
        </w:rPr>
        <w:t xml:space="preserve">achtet der Unterscheidung zwischen eigenen und abgeleiteten Ansprüchen fällt der Familienangehörige eines </w:t>
      </w:r>
      <w:r>
        <w:rPr>
          <w:lang w:val="de-DE"/>
        </w:rPr>
        <w:t>ausländischen</w:t>
      </w:r>
      <w:r w:rsidRPr="00ED225C">
        <w:rPr>
          <w:lang w:val="de-DE"/>
        </w:rPr>
        <w:t xml:space="preserve"> Erwerbstätigen in Bezug auf Lei</w:t>
      </w:r>
      <w:r w:rsidRPr="00ED225C">
        <w:rPr>
          <w:lang w:val="de-DE"/>
        </w:rPr>
        <w:t>s</w:t>
      </w:r>
      <w:r w:rsidRPr="00ED225C">
        <w:rPr>
          <w:lang w:val="de-DE"/>
        </w:rPr>
        <w:t>tungen bei Geburtsgebrechen in den persönlichen Geltungsbereich</w:t>
      </w:r>
      <w:r w:rsidR="00933A83">
        <w:rPr>
          <w:lang w:val="de-DE"/>
        </w:rPr>
        <w:t xml:space="preserve"> </w:t>
      </w:r>
      <w:r>
        <w:rPr>
          <w:lang w:val="de-DE"/>
        </w:rPr>
        <w:t>des europä</w:t>
      </w:r>
      <w:r>
        <w:rPr>
          <w:lang w:val="de-DE"/>
        </w:rPr>
        <w:t>i</w:t>
      </w:r>
      <w:r>
        <w:rPr>
          <w:lang w:val="de-DE"/>
        </w:rPr>
        <w:t>schen Koordinationsrechts</w:t>
      </w:r>
      <w:r>
        <w:rPr>
          <w:rStyle w:val="Funotenzeichen"/>
          <w:lang w:val="de-DE"/>
        </w:rPr>
        <w:footnoteReference w:id="126"/>
      </w:r>
      <w:r w:rsidR="000F7FF8">
        <w:rPr>
          <w:lang w:val="de-DE"/>
        </w:rPr>
        <w:t>.</w:t>
      </w:r>
      <w:r w:rsidRPr="00ED225C">
        <w:rPr>
          <w:lang w:val="de-DE"/>
        </w:rPr>
        <w:t xml:space="preserve"> Medizinische Massnahmen zur Behandlung eines Geburtsgebrechens sind</w:t>
      </w:r>
      <w:r w:rsidR="00487C8A">
        <w:rPr>
          <w:lang w:val="de-DE"/>
        </w:rPr>
        <w:t xml:space="preserve"> dabei koordinationsrechtlich </w:t>
      </w:r>
      <w:r w:rsidRPr="00ED225C">
        <w:rPr>
          <w:lang w:val="de-DE"/>
        </w:rPr>
        <w:t>als Leistungen bei Kran</w:t>
      </w:r>
      <w:r w:rsidRPr="00ED225C">
        <w:rPr>
          <w:lang w:val="de-DE"/>
        </w:rPr>
        <w:t>k</w:t>
      </w:r>
      <w:r w:rsidRPr="00ED225C">
        <w:rPr>
          <w:lang w:val="de-DE"/>
        </w:rPr>
        <w:t>heit zu qualifizieren</w:t>
      </w:r>
      <w:r>
        <w:rPr>
          <w:rStyle w:val="Funotenzeichen"/>
          <w:lang w:val="de-DE"/>
        </w:rPr>
        <w:footnoteReference w:id="127"/>
      </w:r>
      <w:r w:rsidR="000F7FF8">
        <w:rPr>
          <w:lang w:val="de-DE"/>
        </w:rPr>
        <w:t>.</w:t>
      </w:r>
    </w:p>
    <w:p w14:paraId="3E5AFE22" w14:textId="0052B8D7" w:rsidR="00CE182D" w:rsidRPr="000B5C4B" w:rsidRDefault="00487C8A" w:rsidP="000B5C4B">
      <w:pPr>
        <w:pStyle w:val="Grundtext"/>
      </w:pPr>
      <w:r>
        <w:t>Die Behinderung des Kindes beeinflusst schliesslich ebenfalls die sozialversich</w:t>
      </w:r>
      <w:r>
        <w:t>e</w:t>
      </w:r>
      <w:r>
        <w:t>rungsrechtliche Stellung der Eltern. Die einschlägigen Sozialversicherungserla</w:t>
      </w:r>
      <w:r>
        <w:t>s</w:t>
      </w:r>
      <w:r>
        <w:t>se des Bundes bzw. der Kantone sehen mitunter Zusatzleistungen vor, die Eltern nicht behinderter Kinder nicht erhalten.</w:t>
      </w:r>
      <w:r w:rsidR="00933A83">
        <w:t xml:space="preserve"> </w:t>
      </w:r>
      <w:r>
        <w:t>Eine</w:t>
      </w:r>
      <w:r w:rsidR="00747A74">
        <w:t xml:space="preserve"> nicht unerhebliche Auswirkung</w:t>
      </w:r>
      <w:r>
        <w:t xml:space="preserve"> besteht sodann im Zusammenhang mit der Festlegung des sozialversicherung</w:t>
      </w:r>
      <w:r>
        <w:t>s</w:t>
      </w:r>
      <w:r>
        <w:t>rechtlichen Status und der Invaliditätsbemessung, wenn die Eltern eines behi</w:t>
      </w:r>
      <w:r>
        <w:t>n</w:t>
      </w:r>
      <w:r>
        <w:t xml:space="preserve">derten Kindes selber invalid werden. </w:t>
      </w:r>
    </w:p>
    <w:p w14:paraId="2721DF57" w14:textId="17875AB0" w:rsidR="001906EB" w:rsidRPr="001906EB" w:rsidRDefault="007F09A2" w:rsidP="001906EB">
      <w:pPr>
        <w:pStyle w:val="berschrift3"/>
        <w:rPr>
          <w:lang w:val="de-DE"/>
        </w:rPr>
      </w:pPr>
      <w:bookmarkStart w:id="63" w:name="_Toc246328780"/>
      <w:r>
        <w:rPr>
          <w:lang w:val="de-DE"/>
        </w:rPr>
        <w:t>Familien</w:t>
      </w:r>
      <w:r w:rsidR="001906EB" w:rsidRPr="001906EB">
        <w:rPr>
          <w:lang w:val="de-DE"/>
        </w:rPr>
        <w:t>zulagen</w:t>
      </w:r>
      <w:r w:rsidR="00B2356B">
        <w:rPr>
          <w:lang w:val="de-DE"/>
        </w:rPr>
        <w:t xml:space="preserve"> und Mutterschaftsentschädigung</w:t>
      </w:r>
      <w:bookmarkEnd w:id="63"/>
    </w:p>
    <w:p w14:paraId="7F1706C3" w14:textId="77827274" w:rsidR="00487C8A" w:rsidRDefault="007F09A2" w:rsidP="001906EB">
      <w:pPr>
        <w:pStyle w:val="Grundtext"/>
        <w:rPr>
          <w:lang w:val="de-DE"/>
        </w:rPr>
      </w:pPr>
      <w:r>
        <w:rPr>
          <w:lang w:val="de-DE"/>
        </w:rPr>
        <w:t>Das am 1. Januar 2009 in Kraft getretene Familienzulagengesetz</w:t>
      </w:r>
      <w:r>
        <w:rPr>
          <w:rStyle w:val="Funotenzeichen"/>
          <w:lang w:val="de-DE"/>
        </w:rPr>
        <w:footnoteReference w:id="128"/>
      </w:r>
      <w:r>
        <w:rPr>
          <w:lang w:val="de-DE"/>
        </w:rPr>
        <w:t xml:space="preserve"> </w:t>
      </w:r>
      <w:r w:rsidR="00666320">
        <w:rPr>
          <w:lang w:val="de-DE"/>
        </w:rPr>
        <w:t>regelt seit Anfang 2013 neben den Ansprüchen von Arbeitnehme</w:t>
      </w:r>
      <w:r w:rsidR="00487C8A">
        <w:rPr>
          <w:lang w:val="de-DE"/>
        </w:rPr>
        <w:t>rn</w:t>
      </w:r>
      <w:r w:rsidR="00666320">
        <w:rPr>
          <w:lang w:val="de-DE"/>
        </w:rPr>
        <w:t xml:space="preserve"> und Nichterwerbstät</w:t>
      </w:r>
      <w:r w:rsidR="00666320">
        <w:rPr>
          <w:lang w:val="de-DE"/>
        </w:rPr>
        <w:t>i</w:t>
      </w:r>
      <w:r w:rsidR="00666320">
        <w:rPr>
          <w:lang w:val="de-DE"/>
        </w:rPr>
        <w:t xml:space="preserve">gen </w:t>
      </w:r>
      <w:r w:rsidR="007D14B5">
        <w:rPr>
          <w:lang w:val="de-DE"/>
        </w:rPr>
        <w:t xml:space="preserve">neu </w:t>
      </w:r>
      <w:r w:rsidR="00666320">
        <w:rPr>
          <w:lang w:val="de-DE"/>
        </w:rPr>
        <w:t>auch die Anspruchsberechtigung und Beitragspflicht von Selbständ</w:t>
      </w:r>
      <w:r w:rsidR="00666320">
        <w:rPr>
          <w:lang w:val="de-DE"/>
        </w:rPr>
        <w:t>i</w:t>
      </w:r>
      <w:r w:rsidR="00666320">
        <w:rPr>
          <w:lang w:val="de-DE"/>
        </w:rPr>
        <w:t>gerwerbenden auf einmalige oder periodische Geldleistungen, um die finanzielle Belastung durch ein oder mehrere Kinder teilweise auszugleichen</w:t>
      </w:r>
      <w:r w:rsidR="00666320">
        <w:rPr>
          <w:rStyle w:val="Funotenzeichen"/>
          <w:lang w:val="de-DE"/>
        </w:rPr>
        <w:footnoteReference w:id="129"/>
      </w:r>
      <w:r w:rsidR="000F7FF8">
        <w:rPr>
          <w:lang w:val="de-DE"/>
        </w:rPr>
        <w:t>.</w:t>
      </w:r>
      <w:r w:rsidR="00715A71">
        <w:rPr>
          <w:lang w:val="de-DE"/>
        </w:rPr>
        <w:t xml:space="preserve"> </w:t>
      </w:r>
      <w:r w:rsidR="007D14B5">
        <w:rPr>
          <w:lang w:val="de-DE"/>
        </w:rPr>
        <w:t>Für die in der Landwirtschaft tätigen Personen gilt das Bundesgesetz über die Familienz</w:t>
      </w:r>
      <w:r w:rsidR="007D14B5">
        <w:rPr>
          <w:lang w:val="de-DE"/>
        </w:rPr>
        <w:t>u</w:t>
      </w:r>
      <w:r w:rsidR="007D14B5">
        <w:rPr>
          <w:lang w:val="de-DE"/>
        </w:rPr>
        <w:t>lagen in der Landwirtschaft</w:t>
      </w:r>
      <w:r w:rsidR="007D14B5">
        <w:rPr>
          <w:rStyle w:val="Funotenzeichen"/>
          <w:lang w:val="de-DE"/>
        </w:rPr>
        <w:footnoteReference w:id="130"/>
      </w:r>
      <w:r w:rsidR="000F7FF8">
        <w:rPr>
          <w:lang w:val="de-DE"/>
        </w:rPr>
        <w:t>.</w:t>
      </w:r>
      <w:r w:rsidR="007D14B5">
        <w:rPr>
          <w:lang w:val="de-DE"/>
        </w:rPr>
        <w:t xml:space="preserve"> </w:t>
      </w:r>
      <w:r w:rsidR="008C2C1E">
        <w:rPr>
          <w:lang w:val="de-DE"/>
        </w:rPr>
        <w:t>Die Ausfü</w:t>
      </w:r>
      <w:r w:rsidR="00066E9A">
        <w:rPr>
          <w:lang w:val="de-DE"/>
        </w:rPr>
        <w:t>hrungsbestimmungen werden in den</w:t>
      </w:r>
      <w:r w:rsidR="008C2C1E">
        <w:rPr>
          <w:lang w:val="de-DE"/>
        </w:rPr>
        <w:t xml:space="preserve"> kantonalen Familienzulageordnungen</w:t>
      </w:r>
      <w:r w:rsidR="000F7FF8">
        <w:rPr>
          <w:lang w:val="de-DE"/>
        </w:rPr>
        <w:t xml:space="preserve"> geregelt</w:t>
      </w:r>
      <w:r w:rsidR="008C2C1E">
        <w:rPr>
          <w:rStyle w:val="Funotenzeichen"/>
          <w:lang w:val="de-DE"/>
        </w:rPr>
        <w:footnoteReference w:id="131"/>
      </w:r>
      <w:r w:rsidR="008C2C1E">
        <w:rPr>
          <w:lang w:val="de-DE"/>
        </w:rPr>
        <w:t xml:space="preserve">. </w:t>
      </w:r>
    </w:p>
    <w:p w14:paraId="5981D5BC" w14:textId="611E28E3" w:rsidR="001906EB" w:rsidRDefault="007D14B5" w:rsidP="001906EB">
      <w:pPr>
        <w:pStyle w:val="Grundtext"/>
        <w:rPr>
          <w:lang w:val="de-DE"/>
        </w:rPr>
      </w:pPr>
      <w:r>
        <w:rPr>
          <w:lang w:val="de-DE"/>
        </w:rPr>
        <w:t xml:space="preserve">Obwohl </w:t>
      </w:r>
      <w:r w:rsidR="008C2C1E">
        <w:rPr>
          <w:lang w:val="de-DE"/>
        </w:rPr>
        <w:t xml:space="preserve">Kinder mit Behinderung eine höhere finanzielle Belastung </w:t>
      </w:r>
      <w:r w:rsidR="00487C8A">
        <w:rPr>
          <w:lang w:val="de-DE"/>
        </w:rPr>
        <w:t>darstellen</w:t>
      </w:r>
      <w:r w:rsidR="008C2C1E">
        <w:rPr>
          <w:lang w:val="de-DE"/>
        </w:rPr>
        <w:t>, sind im FamZG sowie im FLG keine behinderungsbedingte</w:t>
      </w:r>
      <w:r w:rsidR="00487C8A">
        <w:rPr>
          <w:lang w:val="de-DE"/>
        </w:rPr>
        <w:t>n</w:t>
      </w:r>
      <w:r w:rsidR="008C2C1E">
        <w:rPr>
          <w:lang w:val="de-DE"/>
        </w:rPr>
        <w:t xml:space="preserve"> Zuschläge</w:t>
      </w:r>
      <w:r w:rsidR="00066E9A">
        <w:rPr>
          <w:lang w:val="de-DE"/>
        </w:rPr>
        <w:t xml:space="preserve"> vorges</w:t>
      </w:r>
      <w:r w:rsidR="00066E9A">
        <w:rPr>
          <w:lang w:val="de-DE"/>
        </w:rPr>
        <w:t>e</w:t>
      </w:r>
      <w:r w:rsidR="00066E9A">
        <w:rPr>
          <w:lang w:val="de-DE"/>
        </w:rPr>
        <w:t>hen</w:t>
      </w:r>
      <w:r w:rsidR="00487C8A">
        <w:rPr>
          <w:lang w:val="de-DE"/>
        </w:rPr>
        <w:t>.</w:t>
      </w:r>
      <w:r w:rsidR="00933A83">
        <w:rPr>
          <w:lang w:val="de-DE"/>
        </w:rPr>
        <w:t xml:space="preserve"> </w:t>
      </w:r>
      <w:r w:rsidR="00487C8A">
        <w:rPr>
          <w:lang w:val="de-DE"/>
        </w:rPr>
        <w:t xml:space="preserve">Eine Ausnahme besteht dann, wenn </w:t>
      </w:r>
      <w:r w:rsidR="00804553">
        <w:rPr>
          <w:lang w:val="de-DE"/>
        </w:rPr>
        <w:t xml:space="preserve">ein </w:t>
      </w:r>
      <w:r w:rsidR="008C2C1E">
        <w:rPr>
          <w:lang w:val="de-DE"/>
        </w:rPr>
        <w:t xml:space="preserve">Kind erwerbsunfähig </w:t>
      </w:r>
      <w:r w:rsidR="00066E9A">
        <w:rPr>
          <w:lang w:val="de-DE"/>
        </w:rPr>
        <w:t xml:space="preserve">ist. In diesem Fall wird </w:t>
      </w:r>
      <w:r w:rsidR="008C2C1E">
        <w:rPr>
          <w:lang w:val="de-DE"/>
        </w:rPr>
        <w:t xml:space="preserve">die </w:t>
      </w:r>
      <w:r w:rsidR="00066E9A">
        <w:rPr>
          <w:lang w:val="de-DE"/>
        </w:rPr>
        <w:t>Familienz</w:t>
      </w:r>
      <w:r w:rsidR="008C2C1E">
        <w:rPr>
          <w:lang w:val="de-DE"/>
        </w:rPr>
        <w:t>ulage bis zum vollendeten 20. Altersjahr ausgerichtet</w:t>
      </w:r>
      <w:r w:rsidR="008C2C1E">
        <w:rPr>
          <w:rStyle w:val="Funotenzeichen"/>
          <w:lang w:val="de-DE"/>
        </w:rPr>
        <w:footnoteReference w:id="132"/>
      </w:r>
      <w:r w:rsidR="000F7FF8">
        <w:rPr>
          <w:lang w:val="de-DE"/>
        </w:rPr>
        <w:t>.</w:t>
      </w:r>
      <w:r w:rsidR="008C2C1E">
        <w:rPr>
          <w:lang w:val="de-DE"/>
        </w:rPr>
        <w:t xml:space="preserve"> Einzig der Kanton</w:t>
      </w:r>
      <w:r w:rsidR="00066E9A">
        <w:rPr>
          <w:lang w:val="de-DE"/>
        </w:rPr>
        <w:t xml:space="preserve"> Genf</w:t>
      </w:r>
      <w:r w:rsidR="00066E9A">
        <w:rPr>
          <w:rStyle w:val="Funotenzeichen"/>
          <w:lang w:val="de-DE"/>
        </w:rPr>
        <w:footnoteReference w:id="133"/>
      </w:r>
      <w:r w:rsidR="00487C8A">
        <w:rPr>
          <w:lang w:val="de-DE"/>
        </w:rPr>
        <w:t xml:space="preserve"> erhöht</w:t>
      </w:r>
      <w:r w:rsidR="00066E9A">
        <w:rPr>
          <w:lang w:val="de-DE"/>
        </w:rPr>
        <w:t xml:space="preserve"> die Familienzulage für erwerbsunfähige Kinder</w:t>
      </w:r>
      <w:r w:rsidR="00933A83">
        <w:rPr>
          <w:lang w:val="de-DE"/>
        </w:rPr>
        <w:t xml:space="preserve"> </w:t>
      </w:r>
      <w:r w:rsidR="00487C8A">
        <w:rPr>
          <w:lang w:val="de-DE"/>
        </w:rPr>
        <w:t xml:space="preserve">im Alter </w:t>
      </w:r>
      <w:r w:rsidR="00066E9A">
        <w:rPr>
          <w:lang w:val="de-DE"/>
        </w:rPr>
        <w:t>von 16 bis 20 Jahren um 100 Franken</w:t>
      </w:r>
      <w:r w:rsidR="00066E9A">
        <w:rPr>
          <w:rStyle w:val="Funotenzeichen"/>
          <w:lang w:val="de-DE"/>
        </w:rPr>
        <w:footnoteReference w:id="134"/>
      </w:r>
      <w:r w:rsidR="00933A83">
        <w:rPr>
          <w:lang w:val="de-DE"/>
        </w:rPr>
        <w:t xml:space="preserve"> </w:t>
      </w:r>
      <w:r w:rsidR="00487C8A">
        <w:rPr>
          <w:lang w:val="de-DE"/>
        </w:rPr>
        <w:t xml:space="preserve">und gewährt </w:t>
      </w:r>
      <w:r w:rsidR="00066E9A">
        <w:rPr>
          <w:lang w:val="de-DE"/>
        </w:rPr>
        <w:t>ab dem dritten Kind eine</w:t>
      </w:r>
      <w:r w:rsidR="00487C8A">
        <w:rPr>
          <w:lang w:val="de-DE"/>
        </w:rPr>
        <w:t>n</w:t>
      </w:r>
      <w:r w:rsidR="00066E9A">
        <w:rPr>
          <w:lang w:val="de-DE"/>
        </w:rPr>
        <w:t xml:space="preserve"> Zuschlag von 200 Franken</w:t>
      </w:r>
      <w:r w:rsidR="00066E9A">
        <w:rPr>
          <w:rStyle w:val="Funotenzeichen"/>
          <w:lang w:val="de-DE"/>
        </w:rPr>
        <w:footnoteReference w:id="135"/>
      </w:r>
      <w:r w:rsidR="000F7FF8">
        <w:rPr>
          <w:lang w:val="de-DE"/>
        </w:rPr>
        <w:t>.</w:t>
      </w:r>
      <w:r w:rsidR="00066E9A">
        <w:rPr>
          <w:lang w:val="de-DE"/>
        </w:rPr>
        <w:t xml:space="preserve"> </w:t>
      </w:r>
    </w:p>
    <w:p w14:paraId="382D9346" w14:textId="471912D4" w:rsidR="00066E9A" w:rsidRPr="001906EB" w:rsidRDefault="00487C8A" w:rsidP="001906EB">
      <w:pPr>
        <w:pStyle w:val="Grundtext"/>
        <w:rPr>
          <w:lang w:val="de-DE"/>
        </w:rPr>
      </w:pPr>
      <w:r>
        <w:rPr>
          <w:lang w:val="de-DE"/>
        </w:rPr>
        <w:t>Die</w:t>
      </w:r>
      <w:r w:rsidR="00E540F2">
        <w:rPr>
          <w:lang w:val="de-DE"/>
        </w:rPr>
        <w:t xml:space="preserve"> Muttersc</w:t>
      </w:r>
      <w:r w:rsidR="002607E4">
        <w:rPr>
          <w:lang w:val="de-DE"/>
        </w:rPr>
        <w:t>h</w:t>
      </w:r>
      <w:r w:rsidR="00E540F2">
        <w:rPr>
          <w:lang w:val="de-DE"/>
        </w:rPr>
        <w:t>a</w:t>
      </w:r>
      <w:r w:rsidR="002607E4">
        <w:rPr>
          <w:lang w:val="de-DE"/>
        </w:rPr>
        <w:t>ftsentschädigung</w:t>
      </w:r>
      <w:r w:rsidR="002607E4">
        <w:rPr>
          <w:rStyle w:val="Funotenzeichen"/>
          <w:lang w:val="de-DE"/>
        </w:rPr>
        <w:footnoteReference w:id="136"/>
      </w:r>
      <w:r w:rsidR="00E540F2">
        <w:rPr>
          <w:lang w:val="de-DE"/>
        </w:rPr>
        <w:t xml:space="preserve"> </w:t>
      </w:r>
      <w:r>
        <w:rPr>
          <w:lang w:val="de-DE"/>
        </w:rPr>
        <w:t>kennt im Fall</w:t>
      </w:r>
      <w:r w:rsidR="00E540F2">
        <w:rPr>
          <w:lang w:val="de-DE"/>
        </w:rPr>
        <w:t xml:space="preserve"> der Geburt eines Kindes mit Behinderung keine spezielle Leistung. Hat das Kind jedoch nach der Geburt längere Zeit im Spital zu verbleiben, kann die Mutter beantragen, dass sie den Anspruch auf Mutterschaftsentschädigung erst ab </w:t>
      </w:r>
      <w:r w:rsidR="003D2EFA">
        <w:rPr>
          <w:lang w:val="de-DE"/>
        </w:rPr>
        <w:t xml:space="preserve">dem </w:t>
      </w:r>
      <w:r w:rsidR="00E540F2">
        <w:rPr>
          <w:lang w:val="de-DE"/>
        </w:rPr>
        <w:t>Zeitpunkt der Heimkehr des Kindes stellt</w:t>
      </w:r>
      <w:r w:rsidR="00E540F2">
        <w:rPr>
          <w:rStyle w:val="Funotenzeichen"/>
          <w:lang w:val="de-DE"/>
        </w:rPr>
        <w:footnoteReference w:id="137"/>
      </w:r>
      <w:r w:rsidR="000F7FF8">
        <w:rPr>
          <w:lang w:val="de-DE"/>
        </w:rPr>
        <w:t>.</w:t>
      </w:r>
    </w:p>
    <w:p w14:paraId="0A45F3AF" w14:textId="72B2D11B" w:rsidR="00592535" w:rsidRDefault="00B2356B" w:rsidP="001906EB">
      <w:pPr>
        <w:pStyle w:val="berschrift3"/>
        <w:rPr>
          <w:lang w:val="de-DE"/>
        </w:rPr>
      </w:pPr>
      <w:bookmarkStart w:id="64" w:name="_Toc246328781"/>
      <w:r>
        <w:rPr>
          <w:lang w:val="de-DE"/>
        </w:rPr>
        <w:t>Entschädigung für Betreuungskosten während der Eingliederung</w:t>
      </w:r>
      <w:bookmarkEnd w:id="64"/>
    </w:p>
    <w:p w14:paraId="5E9601D2" w14:textId="5DAAA166" w:rsidR="000B369B" w:rsidRPr="000B369B" w:rsidRDefault="000B369B" w:rsidP="000B369B">
      <w:pPr>
        <w:pStyle w:val="Grundtext"/>
        <w:rPr>
          <w:lang w:val="de-DE"/>
        </w:rPr>
      </w:pPr>
      <w:r w:rsidRPr="000B369B">
        <w:rPr>
          <w:lang w:val="de-DE"/>
        </w:rPr>
        <w:t>Nicht erwerbstätige Versicherte, die an Eingliederungsmassnahmen teilnehmen und die mit Kindern unter 16 Jahren oder mit Familienangehörigen im gemei</w:t>
      </w:r>
      <w:r w:rsidRPr="000B369B">
        <w:rPr>
          <w:lang w:val="de-DE"/>
        </w:rPr>
        <w:t>n</w:t>
      </w:r>
      <w:r w:rsidRPr="000B369B">
        <w:rPr>
          <w:lang w:val="de-DE"/>
        </w:rPr>
        <w:t>samen Haushalt leben, haben Anspruch auf eine Entschädigung für Betreuung</w:t>
      </w:r>
      <w:r w:rsidRPr="000B369B">
        <w:rPr>
          <w:lang w:val="de-DE"/>
        </w:rPr>
        <w:t>s</w:t>
      </w:r>
      <w:r w:rsidRPr="000B369B">
        <w:rPr>
          <w:lang w:val="de-DE"/>
        </w:rPr>
        <w:t>kosten, wenn</w:t>
      </w:r>
      <w:r>
        <w:rPr>
          <w:rStyle w:val="Funotenzeichen"/>
          <w:lang w:val="de-DE"/>
        </w:rPr>
        <w:footnoteReference w:id="138"/>
      </w:r>
      <w:r w:rsidR="000F7FF8">
        <w:rPr>
          <w:lang w:val="de-DE"/>
        </w:rPr>
        <w:t>:</w:t>
      </w:r>
    </w:p>
    <w:p w14:paraId="50F7E9DB" w14:textId="45A89A21" w:rsidR="000B369B" w:rsidRPr="000B369B" w:rsidRDefault="000B369B" w:rsidP="000B369B">
      <w:pPr>
        <w:pStyle w:val="Grundtext"/>
        <w:numPr>
          <w:ilvl w:val="0"/>
          <w:numId w:val="21"/>
        </w:numPr>
        <w:rPr>
          <w:lang w:val="de-DE"/>
        </w:rPr>
      </w:pPr>
      <w:r w:rsidRPr="000B369B">
        <w:rPr>
          <w:lang w:val="de-DE"/>
        </w:rPr>
        <w:t>sie nachweisen, dass die Eingliederungsmassnahmen zusätzliche Koste</w:t>
      </w:r>
      <w:r w:rsidR="00804553">
        <w:rPr>
          <w:lang w:val="de-DE"/>
        </w:rPr>
        <w:t>n für die Betreuung verursachen</w:t>
      </w:r>
      <w:r w:rsidRPr="000B369B">
        <w:rPr>
          <w:lang w:val="de-DE"/>
        </w:rPr>
        <w:t xml:space="preserve"> und</w:t>
      </w:r>
    </w:p>
    <w:p w14:paraId="34C87352" w14:textId="4405E2E2" w:rsidR="000B369B" w:rsidRPr="000B369B" w:rsidRDefault="000B369B" w:rsidP="000B369B">
      <w:pPr>
        <w:pStyle w:val="Grundtext"/>
        <w:numPr>
          <w:ilvl w:val="0"/>
          <w:numId w:val="21"/>
        </w:numPr>
        <w:rPr>
          <w:lang w:val="de-DE"/>
        </w:rPr>
      </w:pPr>
      <w:r w:rsidRPr="000B369B">
        <w:rPr>
          <w:lang w:val="de-DE"/>
        </w:rPr>
        <w:t>die Eingliederungsmassnahmen mindestens zwei a</w:t>
      </w:r>
      <w:r w:rsidR="00804553">
        <w:rPr>
          <w:lang w:val="de-DE"/>
        </w:rPr>
        <w:t>ufeinander folgende Tage dauern</w:t>
      </w:r>
      <w:r w:rsidR="00B13EF0">
        <w:rPr>
          <w:lang w:val="de-DE"/>
        </w:rPr>
        <w:t>.</w:t>
      </w:r>
    </w:p>
    <w:p w14:paraId="25314806" w14:textId="4905EF4A" w:rsidR="000B369B" w:rsidRPr="000B369B" w:rsidRDefault="000B369B" w:rsidP="000B369B">
      <w:pPr>
        <w:pStyle w:val="Grundtext"/>
        <w:rPr>
          <w:lang w:val="de-DE"/>
        </w:rPr>
      </w:pPr>
      <w:r w:rsidRPr="000B369B">
        <w:rPr>
          <w:lang w:val="de-DE"/>
        </w:rPr>
        <w:t>Der Anspruch auf eine Entschädigung gilt für die Betreuung</w:t>
      </w:r>
      <w:r>
        <w:rPr>
          <w:lang w:val="de-DE"/>
        </w:rPr>
        <w:t xml:space="preserve"> </w:t>
      </w:r>
      <w:r w:rsidRPr="000B369B">
        <w:rPr>
          <w:lang w:val="de-DE"/>
        </w:rPr>
        <w:t>der eigenen Kinder</w:t>
      </w:r>
      <w:r>
        <w:rPr>
          <w:lang w:val="de-DE"/>
        </w:rPr>
        <w:t xml:space="preserve">, </w:t>
      </w:r>
      <w:r w:rsidRPr="000B369B">
        <w:rPr>
          <w:lang w:val="de-DE"/>
        </w:rPr>
        <w:t>der Pflegekinder, die sie unentgeltlich zu dauernder Pflege und Erziehung zu sich genommen haben</w:t>
      </w:r>
      <w:r>
        <w:rPr>
          <w:lang w:val="de-DE"/>
        </w:rPr>
        <w:t xml:space="preserve">, und </w:t>
      </w:r>
      <w:r w:rsidRPr="000B369B">
        <w:rPr>
          <w:lang w:val="de-DE"/>
        </w:rPr>
        <w:t>der Familienangehörigen, für die ihnen ein Anspruch auf Anrechnung einer Betreuungsgutschrift zusteht</w:t>
      </w:r>
      <w:r>
        <w:rPr>
          <w:rStyle w:val="Funotenzeichen"/>
          <w:lang w:val="de-DE"/>
        </w:rPr>
        <w:footnoteReference w:id="139"/>
      </w:r>
      <w:r w:rsidR="000F7FF8">
        <w:rPr>
          <w:lang w:val="de-DE"/>
        </w:rPr>
        <w:t>.</w:t>
      </w:r>
    </w:p>
    <w:p w14:paraId="328A36E9" w14:textId="069C78A5" w:rsidR="00592535" w:rsidRPr="00592535" w:rsidRDefault="00592535" w:rsidP="00592535">
      <w:pPr>
        <w:pStyle w:val="Grundtext"/>
        <w:rPr>
          <w:lang w:val="de-DE"/>
        </w:rPr>
      </w:pPr>
      <w:r w:rsidRPr="00592535">
        <w:rPr>
          <w:lang w:val="de-DE"/>
        </w:rPr>
        <w:t>Als Betreuungskosten werden insbesondere vergütet</w:t>
      </w:r>
      <w:r>
        <w:rPr>
          <w:rStyle w:val="Funotenzeichen"/>
          <w:lang w:val="de-DE"/>
        </w:rPr>
        <w:footnoteReference w:id="140"/>
      </w:r>
      <w:r w:rsidR="000F7FF8">
        <w:rPr>
          <w:lang w:val="de-DE"/>
        </w:rPr>
        <w:t>:</w:t>
      </w:r>
    </w:p>
    <w:p w14:paraId="1467270F" w14:textId="7B8195E8" w:rsidR="00592535" w:rsidRPr="00592535" w:rsidRDefault="00592535" w:rsidP="00592535">
      <w:pPr>
        <w:pStyle w:val="Grundtext"/>
        <w:numPr>
          <w:ilvl w:val="0"/>
          <w:numId w:val="16"/>
        </w:numPr>
        <w:rPr>
          <w:lang w:val="de-DE"/>
        </w:rPr>
      </w:pPr>
      <w:r w:rsidRPr="00592535">
        <w:rPr>
          <w:lang w:val="de-DE"/>
        </w:rPr>
        <w:t>Kosten für Mahlzeiten ausser Haus</w:t>
      </w:r>
      <w:r w:rsidR="000B369B">
        <w:rPr>
          <w:lang w:val="de-DE"/>
        </w:rPr>
        <w:t xml:space="preserve"> </w:t>
      </w:r>
      <w:r w:rsidR="000B369B" w:rsidRPr="00592535">
        <w:rPr>
          <w:lang w:val="de-DE"/>
        </w:rPr>
        <w:t xml:space="preserve">für die </w:t>
      </w:r>
      <w:r w:rsidR="000B369B">
        <w:rPr>
          <w:lang w:val="de-DE"/>
        </w:rPr>
        <w:t xml:space="preserve">anspruchsberechtigten </w:t>
      </w:r>
      <w:r w:rsidR="000B369B" w:rsidRPr="00592535">
        <w:rPr>
          <w:lang w:val="de-DE"/>
        </w:rPr>
        <w:t>Pe</w:t>
      </w:r>
      <w:r w:rsidR="000B369B" w:rsidRPr="00592535">
        <w:rPr>
          <w:lang w:val="de-DE"/>
        </w:rPr>
        <w:t>r</w:t>
      </w:r>
      <w:r w:rsidR="000B369B" w:rsidRPr="00592535">
        <w:rPr>
          <w:lang w:val="de-DE"/>
        </w:rPr>
        <w:t>sonen</w:t>
      </w:r>
      <w:r w:rsidR="00BF4E67">
        <w:rPr>
          <w:lang w:val="de-DE"/>
        </w:rPr>
        <w:t>;</w:t>
      </w:r>
    </w:p>
    <w:p w14:paraId="6EC88DF4" w14:textId="3560DD18" w:rsidR="00592535" w:rsidRPr="00592535" w:rsidRDefault="00592535" w:rsidP="00592535">
      <w:pPr>
        <w:pStyle w:val="Grundtext"/>
        <w:numPr>
          <w:ilvl w:val="0"/>
          <w:numId w:val="16"/>
        </w:numPr>
        <w:rPr>
          <w:lang w:val="de-DE"/>
        </w:rPr>
      </w:pPr>
      <w:r>
        <w:rPr>
          <w:lang w:val="de-DE"/>
        </w:rPr>
        <w:t>R</w:t>
      </w:r>
      <w:r w:rsidRPr="00592535">
        <w:rPr>
          <w:lang w:val="de-DE"/>
        </w:rPr>
        <w:t xml:space="preserve">eise- und Unterbringungskosten </w:t>
      </w:r>
      <w:bookmarkStart w:id="67" w:name="OLE_LINK60"/>
      <w:bookmarkStart w:id="68" w:name="OLE_LINK64"/>
      <w:r w:rsidRPr="00592535">
        <w:rPr>
          <w:lang w:val="de-DE"/>
        </w:rPr>
        <w:t xml:space="preserve">für die </w:t>
      </w:r>
      <w:r w:rsidR="000B369B">
        <w:rPr>
          <w:lang w:val="de-DE"/>
        </w:rPr>
        <w:t xml:space="preserve">anspruchsberechtigten </w:t>
      </w:r>
      <w:r w:rsidRPr="00592535">
        <w:rPr>
          <w:lang w:val="de-DE"/>
        </w:rPr>
        <w:t>Pers</w:t>
      </w:r>
      <w:r w:rsidRPr="00592535">
        <w:rPr>
          <w:lang w:val="de-DE"/>
        </w:rPr>
        <w:t>o</w:t>
      </w:r>
      <w:r w:rsidRPr="00592535">
        <w:rPr>
          <w:lang w:val="de-DE"/>
        </w:rPr>
        <w:t>nen</w:t>
      </w:r>
      <w:bookmarkEnd w:id="67"/>
      <w:bookmarkEnd w:id="68"/>
      <w:r w:rsidRPr="00592535">
        <w:rPr>
          <w:lang w:val="de-DE"/>
        </w:rPr>
        <w:t>, die von Dritten betreut werden</w:t>
      </w:r>
      <w:r w:rsidR="00BF4E67">
        <w:rPr>
          <w:lang w:val="de-DE"/>
        </w:rPr>
        <w:t>;</w:t>
      </w:r>
    </w:p>
    <w:p w14:paraId="1640B3AB" w14:textId="600EA647" w:rsidR="00592535" w:rsidRPr="00592535" w:rsidRDefault="00592535" w:rsidP="00592535">
      <w:pPr>
        <w:pStyle w:val="Grundtext"/>
        <w:numPr>
          <w:ilvl w:val="0"/>
          <w:numId w:val="16"/>
        </w:numPr>
        <w:rPr>
          <w:lang w:val="de-DE"/>
        </w:rPr>
      </w:pPr>
      <w:r w:rsidRPr="00592535">
        <w:rPr>
          <w:lang w:val="de-DE"/>
        </w:rPr>
        <w:t>Löhne für Familien- oder Haushalthilfen</w:t>
      </w:r>
      <w:r w:rsidR="00BF4E67">
        <w:rPr>
          <w:lang w:val="de-DE"/>
        </w:rPr>
        <w:t>;</w:t>
      </w:r>
    </w:p>
    <w:p w14:paraId="71A61924" w14:textId="49004C97" w:rsidR="00592535" w:rsidRPr="00592535" w:rsidRDefault="00592535" w:rsidP="00592535">
      <w:pPr>
        <w:pStyle w:val="Grundtext"/>
        <w:numPr>
          <w:ilvl w:val="0"/>
          <w:numId w:val="16"/>
        </w:numPr>
        <w:rPr>
          <w:lang w:val="de-DE"/>
        </w:rPr>
      </w:pPr>
      <w:r w:rsidRPr="00592535">
        <w:rPr>
          <w:lang w:val="de-DE"/>
        </w:rPr>
        <w:t>Kosten für Kinderkrippen, Tages- oder Schulhorte oder Tagesstrukturen</w:t>
      </w:r>
      <w:r w:rsidR="000B369B">
        <w:rPr>
          <w:lang w:val="de-DE"/>
        </w:rPr>
        <w:t xml:space="preserve"> und</w:t>
      </w:r>
    </w:p>
    <w:p w14:paraId="2BFF6C39" w14:textId="2D0DD35A" w:rsidR="00592535" w:rsidRPr="00592535" w:rsidRDefault="00592535" w:rsidP="00592535">
      <w:pPr>
        <w:pStyle w:val="Grundtext"/>
        <w:numPr>
          <w:ilvl w:val="0"/>
          <w:numId w:val="16"/>
        </w:numPr>
        <w:rPr>
          <w:lang w:val="de-DE"/>
        </w:rPr>
      </w:pPr>
      <w:r w:rsidRPr="00592535">
        <w:rPr>
          <w:lang w:val="de-DE"/>
        </w:rPr>
        <w:t xml:space="preserve">Reisekosten von Dritten, welche </w:t>
      </w:r>
      <w:r w:rsidR="000B369B" w:rsidRPr="00592535">
        <w:rPr>
          <w:lang w:val="de-DE"/>
        </w:rPr>
        <w:t xml:space="preserve">die </w:t>
      </w:r>
      <w:r w:rsidR="000B369B">
        <w:rPr>
          <w:lang w:val="de-DE"/>
        </w:rPr>
        <w:t xml:space="preserve">anspruchsberechtigten </w:t>
      </w:r>
      <w:r w:rsidR="000B369B" w:rsidRPr="00592535">
        <w:rPr>
          <w:lang w:val="de-DE"/>
        </w:rPr>
        <w:t>Personen</w:t>
      </w:r>
      <w:r w:rsidRPr="00592535">
        <w:rPr>
          <w:lang w:val="de-DE"/>
        </w:rPr>
        <w:t xml:space="preserve"> im Haushalt de</w:t>
      </w:r>
      <w:r w:rsidR="000B369B">
        <w:rPr>
          <w:lang w:val="de-DE"/>
        </w:rPr>
        <w:t>s</w:t>
      </w:r>
      <w:r w:rsidRPr="00592535">
        <w:rPr>
          <w:lang w:val="de-DE"/>
        </w:rPr>
        <w:t xml:space="preserve"> </w:t>
      </w:r>
      <w:r w:rsidR="000B369B">
        <w:rPr>
          <w:lang w:val="de-DE"/>
        </w:rPr>
        <w:t>Versicherten</w:t>
      </w:r>
      <w:r w:rsidR="00804553">
        <w:rPr>
          <w:lang w:val="de-DE"/>
        </w:rPr>
        <w:t xml:space="preserve"> betreuen</w:t>
      </w:r>
      <w:r w:rsidR="00BF4E67">
        <w:rPr>
          <w:lang w:val="de-DE"/>
        </w:rPr>
        <w:t>.</w:t>
      </w:r>
    </w:p>
    <w:p w14:paraId="64F171EC" w14:textId="77777777" w:rsidR="001906EB" w:rsidRPr="001906EB" w:rsidRDefault="001906EB" w:rsidP="001906EB">
      <w:pPr>
        <w:pStyle w:val="berschrift3"/>
        <w:rPr>
          <w:lang w:val="de-DE"/>
        </w:rPr>
      </w:pPr>
      <w:bookmarkStart w:id="69" w:name="_Toc246328782"/>
      <w:r w:rsidRPr="001906EB">
        <w:rPr>
          <w:lang w:val="de-DE"/>
        </w:rPr>
        <w:t>Erziehungs- und Betreuungsgutschriften</w:t>
      </w:r>
      <w:bookmarkEnd w:id="69"/>
    </w:p>
    <w:p w14:paraId="1DAC68C4" w14:textId="5E4C7030" w:rsidR="001906EB" w:rsidRPr="001906EB" w:rsidRDefault="00C96C6F" w:rsidP="001906EB">
      <w:pPr>
        <w:pStyle w:val="Grundtext"/>
        <w:rPr>
          <w:lang w:val="de-DE"/>
        </w:rPr>
      </w:pPr>
      <w:r>
        <w:rPr>
          <w:lang w:val="de-DE"/>
        </w:rPr>
        <w:t>Die Erziehungs-</w:t>
      </w:r>
      <w:r w:rsidR="00FE08D8">
        <w:rPr>
          <w:rStyle w:val="Funotenzeichen"/>
          <w:lang w:val="de-DE"/>
        </w:rPr>
        <w:footnoteReference w:id="141"/>
      </w:r>
      <w:r>
        <w:rPr>
          <w:lang w:val="de-DE"/>
        </w:rPr>
        <w:t xml:space="preserve"> sowie die Betreuungsgutschriften</w:t>
      </w:r>
      <w:r w:rsidR="00FE08D8">
        <w:rPr>
          <w:rStyle w:val="Funotenzeichen"/>
          <w:lang w:val="de-DE"/>
        </w:rPr>
        <w:footnoteReference w:id="142"/>
      </w:r>
      <w:r>
        <w:rPr>
          <w:lang w:val="de-DE"/>
        </w:rPr>
        <w:t xml:space="preserve"> </w:t>
      </w:r>
      <w:r w:rsidR="00FE08D8">
        <w:rPr>
          <w:lang w:val="de-DE"/>
        </w:rPr>
        <w:t>stellen keine direkten Geldleistungen dar, sondern gelten als Zuschläge zum Erwerbseinkommen, die erst bei der Berechnung der Altersrente zum Zuge kommen. Anspruch auf Erzi</w:t>
      </w:r>
      <w:r w:rsidR="00FE08D8">
        <w:rPr>
          <w:lang w:val="de-DE"/>
        </w:rPr>
        <w:t>e</w:t>
      </w:r>
      <w:r w:rsidR="00FE08D8">
        <w:rPr>
          <w:lang w:val="de-DE"/>
        </w:rPr>
        <w:t>hungsgutschriften kann für jedes Jahr erhoben werden, für das eine Person ein Kind unter 16 Jahren</w:t>
      </w:r>
      <w:r w:rsidR="00295A08">
        <w:rPr>
          <w:lang w:val="de-DE"/>
        </w:rPr>
        <w:t xml:space="preserve"> in Obhut hat</w:t>
      </w:r>
      <w:r w:rsidR="00FE08D8">
        <w:rPr>
          <w:rStyle w:val="Funotenzeichen"/>
          <w:lang w:val="de-DE"/>
        </w:rPr>
        <w:footnoteReference w:id="143"/>
      </w:r>
      <w:r w:rsidR="000F7FF8">
        <w:rPr>
          <w:lang w:val="de-DE"/>
        </w:rPr>
        <w:t>.</w:t>
      </w:r>
      <w:r w:rsidR="00FE08D8">
        <w:rPr>
          <w:lang w:val="de-DE"/>
        </w:rPr>
        <w:t xml:space="preserve"> Betreuungsgutschriften kann beantragen, wer pflegebedürftige Verwandte betreut</w:t>
      </w:r>
      <w:r w:rsidR="00FE08D8">
        <w:rPr>
          <w:rStyle w:val="Funotenzeichen"/>
          <w:lang w:val="de-DE"/>
        </w:rPr>
        <w:footnoteReference w:id="144"/>
      </w:r>
      <w:r w:rsidR="000F7FF8">
        <w:rPr>
          <w:lang w:val="de-DE"/>
        </w:rPr>
        <w:t>.</w:t>
      </w:r>
      <w:r w:rsidR="00295A08">
        <w:rPr>
          <w:lang w:val="de-DE"/>
        </w:rPr>
        <w:t xml:space="preserve"> </w:t>
      </w:r>
      <w:r w:rsidR="00E87940">
        <w:rPr>
          <w:lang w:val="de-DE"/>
        </w:rPr>
        <w:t>Die beiden Gutschriften können nicht kumulativ beansprucht werden. Eltern können folglich</w:t>
      </w:r>
      <w:r w:rsidR="00295A08">
        <w:rPr>
          <w:lang w:val="de-DE"/>
        </w:rPr>
        <w:t xml:space="preserve"> für die Betreuung ihrer Kinder mit Behinderung </w:t>
      </w:r>
      <w:r w:rsidR="00E87940">
        <w:rPr>
          <w:lang w:val="de-DE"/>
        </w:rPr>
        <w:t>erst</w:t>
      </w:r>
      <w:r w:rsidR="00295A08">
        <w:rPr>
          <w:lang w:val="de-DE"/>
        </w:rPr>
        <w:t xml:space="preserve"> ab deren 17. Lebensjahr </w:t>
      </w:r>
      <w:r w:rsidR="00E87940">
        <w:rPr>
          <w:lang w:val="de-DE"/>
        </w:rPr>
        <w:t>einen</w:t>
      </w:r>
      <w:r w:rsidR="00295A08">
        <w:rPr>
          <w:lang w:val="de-DE"/>
        </w:rPr>
        <w:t xml:space="preserve"> Anspruch auf B</w:t>
      </w:r>
      <w:r w:rsidR="00295A08">
        <w:rPr>
          <w:lang w:val="de-DE"/>
        </w:rPr>
        <w:t>e</w:t>
      </w:r>
      <w:r w:rsidR="00295A08">
        <w:rPr>
          <w:lang w:val="de-DE"/>
        </w:rPr>
        <w:t>treuungs</w:t>
      </w:r>
      <w:r w:rsidR="00E87940">
        <w:rPr>
          <w:lang w:val="de-DE"/>
        </w:rPr>
        <w:t>gutschriften erheben</w:t>
      </w:r>
      <w:r w:rsidR="00295A08">
        <w:rPr>
          <w:lang w:val="de-DE"/>
        </w:rPr>
        <w:t>. Im Gegensatz zur Erziehungs</w:t>
      </w:r>
      <w:r w:rsidR="00E87940">
        <w:rPr>
          <w:lang w:val="de-DE"/>
        </w:rPr>
        <w:t>-</w:t>
      </w:r>
      <w:r w:rsidR="00295A08">
        <w:rPr>
          <w:lang w:val="de-DE"/>
        </w:rPr>
        <w:t xml:space="preserve"> ist die Betreuung</w:t>
      </w:r>
      <w:r w:rsidR="00295A08">
        <w:rPr>
          <w:lang w:val="de-DE"/>
        </w:rPr>
        <w:t>s</w:t>
      </w:r>
      <w:r w:rsidR="00295A08">
        <w:rPr>
          <w:lang w:val="de-DE"/>
        </w:rPr>
        <w:t>gutschrift jährlich bei der zuständigen Ausgleichskasse gelten</w:t>
      </w:r>
      <w:r w:rsidR="00E87940">
        <w:rPr>
          <w:lang w:val="de-DE"/>
        </w:rPr>
        <w:t>d</w:t>
      </w:r>
      <w:r w:rsidR="00295A08">
        <w:rPr>
          <w:lang w:val="de-DE"/>
        </w:rPr>
        <w:t xml:space="preserve"> zu machen</w:t>
      </w:r>
      <w:r w:rsidR="00295A08">
        <w:rPr>
          <w:rStyle w:val="Funotenzeichen"/>
          <w:lang w:val="de-DE"/>
        </w:rPr>
        <w:footnoteReference w:id="145"/>
      </w:r>
      <w:r w:rsidR="000F7FF8">
        <w:rPr>
          <w:lang w:val="de-DE"/>
        </w:rPr>
        <w:t>.</w:t>
      </w:r>
    </w:p>
    <w:p w14:paraId="7A3BEE9B" w14:textId="35C1AC5A" w:rsidR="001906EB" w:rsidRDefault="001906EB" w:rsidP="001906EB">
      <w:pPr>
        <w:pStyle w:val="berschrift3"/>
        <w:rPr>
          <w:lang w:val="de-DE"/>
        </w:rPr>
      </w:pPr>
      <w:bookmarkStart w:id="70" w:name="_Toc246328783"/>
      <w:r w:rsidRPr="001906EB">
        <w:rPr>
          <w:lang w:val="de-DE"/>
        </w:rPr>
        <w:t>Invaliditätsbemessung</w:t>
      </w:r>
      <w:r w:rsidR="001E686A">
        <w:rPr>
          <w:lang w:val="de-DE"/>
        </w:rPr>
        <w:t xml:space="preserve"> bei pflegenden Angehörigen</w:t>
      </w:r>
      <w:bookmarkEnd w:id="70"/>
    </w:p>
    <w:p w14:paraId="7C55541D" w14:textId="7A4B4BCA" w:rsidR="008F23A0" w:rsidRDefault="001E686A" w:rsidP="00FE042B">
      <w:pPr>
        <w:pStyle w:val="Grundtext"/>
      </w:pPr>
      <w:r>
        <w:t>Die Betreuung und Pflege eines schwerstbehinderten Kindes kann bei den Eltern zu einer psychischen</w:t>
      </w:r>
      <w:r>
        <w:rPr>
          <w:rStyle w:val="Funotenzeichen"/>
        </w:rPr>
        <w:footnoteReference w:id="146"/>
      </w:r>
      <w:r>
        <w:t xml:space="preserve"> oder physischen Beeinträchtigung der Gesundheit führen. Tritt eine solche</w:t>
      </w:r>
      <w:r w:rsidRPr="001E686A">
        <w:t xml:space="preserve"> «Belastungsstörung» </w:t>
      </w:r>
      <w:r>
        <w:t>a</w:t>
      </w:r>
      <w:r w:rsidRPr="001E686A">
        <w:t>uf oder wird der betreuende Elternteil</w:t>
      </w:r>
      <w:r w:rsidR="00933A83">
        <w:t xml:space="preserve"> </w:t>
      </w:r>
      <w:r>
        <w:t>durch eine andere Krankheit oder einen Unfall in seinem funktionellen Lei</w:t>
      </w:r>
      <w:r>
        <w:t>s</w:t>
      </w:r>
      <w:r>
        <w:t>tungsvermögen beeinträchtigt, stellt sich im Zusammenhang mit der Invalidität</w:t>
      </w:r>
      <w:r>
        <w:t>s</w:t>
      </w:r>
      <w:r>
        <w:t>bemessun</w:t>
      </w:r>
      <w:r w:rsidRPr="001E686A">
        <w:t>g der pflegenden Angehörigen die Frage,</w:t>
      </w:r>
      <w:r>
        <w:t xml:space="preserve"> in welchem Umfang der zusätzlichen Belastung Rechnung zu tragen ist. </w:t>
      </w:r>
    </w:p>
    <w:p w14:paraId="5362E95A" w14:textId="77E87418" w:rsidR="001E686A" w:rsidRPr="00FE042B" w:rsidRDefault="001E686A" w:rsidP="00FE042B">
      <w:pPr>
        <w:pStyle w:val="Grundtext"/>
      </w:pPr>
      <w:r>
        <w:t>Das Bundesgericht betont, dass</w:t>
      </w:r>
      <w:r w:rsidR="00933A83">
        <w:t xml:space="preserve"> </w:t>
      </w:r>
      <w:r w:rsidR="00B535A0">
        <w:t>in solchen speziellen Fällen</w:t>
      </w:r>
      <w:r>
        <w:t xml:space="preserve"> die Pflegetätigkeit als primäre</w:t>
      </w:r>
      <w:r w:rsidR="00747A74">
        <w:t>r</w:t>
      </w:r>
      <w:r>
        <w:t xml:space="preserve"> bisherige</w:t>
      </w:r>
      <w:r w:rsidR="00747A74">
        <w:t>r</w:t>
      </w:r>
      <w:r>
        <w:t xml:space="preserve"> Aufgabenbereich anzuerkennen ist, </w:t>
      </w:r>
      <w:r w:rsidR="00B535A0">
        <w:t>die sich</w:t>
      </w:r>
      <w:r>
        <w:t xml:space="preserve"> aus der gleichzeitigen Haushaltführung</w:t>
      </w:r>
      <w:r w:rsidR="00B535A0">
        <w:t xml:space="preserve"> </w:t>
      </w:r>
      <w:r w:rsidR="00B535A0" w:rsidRPr="001E686A">
        <w:rPr>
          <w:lang w:val="de-DE"/>
        </w:rPr>
        <w:t>ergebende</w:t>
      </w:r>
      <w:r w:rsidR="00B535A0">
        <w:rPr>
          <w:lang w:val="de-DE"/>
        </w:rPr>
        <w:t>n</w:t>
      </w:r>
      <w:r w:rsidR="00B535A0" w:rsidRPr="001E686A">
        <w:rPr>
          <w:lang w:val="de-DE"/>
        </w:rPr>
        <w:t xml:space="preserve"> ‚Anderthalb- oder Doppelbelastung’</w:t>
      </w:r>
      <w:r w:rsidR="00B535A0">
        <w:rPr>
          <w:lang w:val="de-DE"/>
        </w:rPr>
        <w:t xml:space="preserve"> aber nicht invaliditätserhöhend auswirkt, da der Versicherungsschutz</w:t>
      </w:r>
      <w:r w:rsidR="00933A83">
        <w:rPr>
          <w:lang w:val="de-DE"/>
        </w:rPr>
        <w:t xml:space="preserve"> </w:t>
      </w:r>
      <w:r w:rsidR="00B535A0">
        <w:rPr>
          <w:lang w:val="de-DE"/>
        </w:rPr>
        <w:t>nicht nur für e</w:t>
      </w:r>
      <w:r w:rsidR="00747A74">
        <w:rPr>
          <w:lang w:val="de-DE"/>
        </w:rPr>
        <w:t>rwerbstätige, sondern auch für nichterwerbstätige V</w:t>
      </w:r>
      <w:r w:rsidR="00B535A0">
        <w:rPr>
          <w:lang w:val="de-DE"/>
        </w:rPr>
        <w:t>ersicherte nur im Ra</w:t>
      </w:r>
      <w:r w:rsidR="00B535A0">
        <w:rPr>
          <w:lang w:val="de-DE"/>
        </w:rPr>
        <w:t>h</w:t>
      </w:r>
      <w:r w:rsidR="00B535A0">
        <w:rPr>
          <w:lang w:val="de-DE"/>
        </w:rPr>
        <w:t>men e</w:t>
      </w:r>
      <w:r w:rsidR="00747A74">
        <w:rPr>
          <w:lang w:val="de-DE"/>
        </w:rPr>
        <w:t>ines durchschnittlichen Pensums</w:t>
      </w:r>
      <w:r w:rsidR="00B535A0">
        <w:rPr>
          <w:lang w:val="de-DE"/>
        </w:rPr>
        <w:t xml:space="preserve"> gewährt wird. </w:t>
      </w:r>
      <w:r w:rsidRPr="001E686A">
        <w:rPr>
          <w:lang w:val="de-DE"/>
        </w:rPr>
        <w:t>Die Unmöglichkeit, der sich aus der Pflege des Sohnes ergebenden Belastung und (kumulativ) der Au</w:t>
      </w:r>
      <w:r w:rsidRPr="001E686A">
        <w:rPr>
          <w:lang w:val="de-DE"/>
        </w:rPr>
        <w:t>f</w:t>
      </w:r>
      <w:r w:rsidRPr="001E686A">
        <w:rPr>
          <w:lang w:val="de-DE"/>
        </w:rPr>
        <w:t>gabe, den grossen Haushalt (8-Zimmer-Einfamilienhaus mit Umschwung) zu führen, zu genügen, hat demnach ausser Acht zu bleiben</w:t>
      </w:r>
      <w:r w:rsidR="00B535A0">
        <w:rPr>
          <w:rStyle w:val="Funotenzeichen"/>
          <w:lang w:val="de-DE"/>
        </w:rPr>
        <w:footnoteReference w:id="147"/>
      </w:r>
      <w:r w:rsidR="000F7FF8">
        <w:rPr>
          <w:lang w:val="de-DE"/>
        </w:rPr>
        <w:t>.</w:t>
      </w:r>
      <w:r w:rsidR="00B535A0">
        <w:rPr>
          <w:lang w:val="de-DE"/>
        </w:rPr>
        <w:t xml:space="preserve"> Diese im Bereich der Invalidenversicherung bestehende versicherungsrechtliche Benachteiligung von pflegenden Angehörigen wird durch den fehlenden unfallversicherungsrechtl</w:t>
      </w:r>
      <w:r w:rsidR="00B535A0">
        <w:rPr>
          <w:lang w:val="de-DE"/>
        </w:rPr>
        <w:t>i</w:t>
      </w:r>
      <w:r w:rsidR="00B535A0">
        <w:rPr>
          <w:lang w:val="de-DE"/>
        </w:rPr>
        <w:t>chen Schutz akzentuiert.</w:t>
      </w:r>
    </w:p>
    <w:p w14:paraId="50B2C6F5" w14:textId="68BBF1BA" w:rsidR="00ED225C" w:rsidRPr="00ED225C" w:rsidRDefault="00ED225C" w:rsidP="00ED225C">
      <w:pPr>
        <w:pStyle w:val="Grundtext"/>
        <w:rPr>
          <w:lang w:val="de-DE"/>
        </w:rPr>
      </w:pPr>
    </w:p>
    <w:p w14:paraId="30D5E903" w14:textId="77777777" w:rsidR="00ED225C" w:rsidRPr="00ED225C" w:rsidRDefault="00ED225C" w:rsidP="00ED225C">
      <w:pPr>
        <w:pStyle w:val="Grundtext"/>
      </w:pPr>
    </w:p>
    <w:p w14:paraId="600DA0E7" w14:textId="1D57CF67" w:rsidR="005458EC" w:rsidRDefault="005458EC">
      <w:pPr>
        <w:pStyle w:val="Grundtext"/>
      </w:pPr>
    </w:p>
    <w:p w14:paraId="268CDFEC" w14:textId="77777777" w:rsidR="00823EB0" w:rsidRDefault="00823EB0">
      <w:pPr>
        <w:pStyle w:val="Grundtext"/>
      </w:pPr>
    </w:p>
    <w:p w14:paraId="05771DE1" w14:textId="77777777" w:rsidR="00823EB0" w:rsidRDefault="00823EB0">
      <w:pPr>
        <w:pStyle w:val="Grundtext"/>
      </w:pPr>
    </w:p>
    <w:p w14:paraId="45C1FC9B" w14:textId="77777777" w:rsidR="00823EB0" w:rsidRDefault="00823EB0">
      <w:pPr>
        <w:pStyle w:val="Grundtext"/>
      </w:pPr>
    </w:p>
    <w:p w14:paraId="3E04A52B" w14:textId="77777777" w:rsidR="00823EB0" w:rsidRDefault="00823EB0">
      <w:pPr>
        <w:pStyle w:val="Grundtext"/>
      </w:pPr>
    </w:p>
    <w:p w14:paraId="53413AD0" w14:textId="77777777" w:rsidR="00823EB0" w:rsidRDefault="00823EB0">
      <w:pPr>
        <w:pStyle w:val="Grundtext"/>
      </w:pPr>
    </w:p>
    <w:p w14:paraId="087A0F63" w14:textId="77777777" w:rsidR="00823EB0" w:rsidRDefault="00823EB0">
      <w:pPr>
        <w:pStyle w:val="Grundtext"/>
      </w:pPr>
    </w:p>
    <w:p w14:paraId="4DAD09ED" w14:textId="77777777" w:rsidR="00823EB0" w:rsidRDefault="00823EB0">
      <w:pPr>
        <w:pStyle w:val="Grundtext"/>
      </w:pPr>
    </w:p>
    <w:p w14:paraId="0262B573" w14:textId="77777777" w:rsidR="00823EB0" w:rsidRDefault="00823EB0">
      <w:pPr>
        <w:pStyle w:val="Grundtext"/>
      </w:pPr>
    </w:p>
    <w:p w14:paraId="1FD7A2EB" w14:textId="77777777" w:rsidR="00823EB0" w:rsidRDefault="00823EB0">
      <w:pPr>
        <w:pStyle w:val="Grundtext"/>
      </w:pPr>
    </w:p>
    <w:p w14:paraId="2E91D64F" w14:textId="77777777" w:rsidR="00823EB0" w:rsidRDefault="00823EB0">
      <w:pPr>
        <w:pStyle w:val="Grundtext"/>
      </w:pPr>
    </w:p>
    <w:p w14:paraId="2BD76360" w14:textId="77777777" w:rsidR="00823EB0" w:rsidRDefault="00823EB0">
      <w:pPr>
        <w:pStyle w:val="Grundtext"/>
      </w:pPr>
    </w:p>
    <w:p w14:paraId="010C2914" w14:textId="77777777" w:rsidR="00823EB0" w:rsidRDefault="00823EB0">
      <w:pPr>
        <w:pStyle w:val="Grundtext"/>
      </w:pPr>
    </w:p>
    <w:p w14:paraId="4A909784" w14:textId="77777777" w:rsidR="00823EB0" w:rsidRDefault="00823EB0">
      <w:pPr>
        <w:pStyle w:val="Grundtext"/>
      </w:pPr>
    </w:p>
    <w:p w14:paraId="28118616" w14:textId="77777777" w:rsidR="00823EB0" w:rsidRDefault="00823EB0">
      <w:pPr>
        <w:pStyle w:val="Grundtext"/>
      </w:pPr>
    </w:p>
    <w:p w14:paraId="4351C4D8" w14:textId="77777777" w:rsidR="00823EB0" w:rsidRDefault="00823EB0">
      <w:pPr>
        <w:pStyle w:val="Grundtext"/>
      </w:pPr>
    </w:p>
    <w:p w14:paraId="32F97DEB" w14:textId="77777777" w:rsidR="00823EB0" w:rsidRDefault="00823EB0">
      <w:pPr>
        <w:pStyle w:val="Grundtext"/>
      </w:pPr>
    </w:p>
    <w:p w14:paraId="31D4B0CB" w14:textId="77777777" w:rsidR="00823EB0" w:rsidRDefault="00823EB0">
      <w:pPr>
        <w:pStyle w:val="Grundtext"/>
      </w:pPr>
    </w:p>
    <w:p w14:paraId="4E28C2DA" w14:textId="128CC6FB" w:rsidR="005458EC" w:rsidRDefault="001906EB">
      <w:pPr>
        <w:pStyle w:val="berschrift1"/>
        <w:numPr>
          <w:ilvl w:val="0"/>
          <w:numId w:val="0"/>
        </w:numPr>
      </w:pPr>
      <w:bookmarkStart w:id="71" w:name="_Toc246328784"/>
      <w:r>
        <w:t>Literaturverzeichnis</w:t>
      </w:r>
      <w:bookmarkEnd w:id="71"/>
      <w:r>
        <w:t xml:space="preserve"> </w:t>
      </w:r>
    </w:p>
    <w:p w14:paraId="61F3A8AD" w14:textId="4F3A7F63" w:rsidR="00DF2E01" w:rsidRPr="008F23A0" w:rsidRDefault="00DF2E01" w:rsidP="00DF2E01">
      <w:pPr>
        <w:pStyle w:val="EndNoteBibliography"/>
        <w:ind w:left="720" w:hanging="720"/>
        <w:rPr>
          <w:rFonts w:ascii="Times New Roman" w:hAnsi="Times New Roman"/>
          <w:noProof/>
          <w:sz w:val="18"/>
        </w:rPr>
      </w:pPr>
      <w:r w:rsidRPr="00DF2E01">
        <w:rPr>
          <w:rFonts w:ascii="Times New Roman" w:hAnsi="Times New Roman"/>
        </w:rPr>
        <w:fldChar w:fldCharType="begin"/>
      </w:r>
      <w:r w:rsidRPr="00DF2E01">
        <w:rPr>
          <w:rFonts w:ascii="Times New Roman" w:hAnsi="Times New Roman"/>
        </w:rPr>
        <w:instrText xml:space="preserve"> ADDIN EN.REFLIST </w:instrText>
      </w:r>
      <w:r w:rsidRPr="00DF2E01">
        <w:rPr>
          <w:rFonts w:ascii="Times New Roman" w:hAnsi="Times New Roman"/>
        </w:rPr>
        <w:fldChar w:fldCharType="separate"/>
      </w:r>
      <w:r w:rsidRPr="008F23A0">
        <w:rPr>
          <w:rFonts w:ascii="Times New Roman" w:hAnsi="Times New Roman"/>
          <w:smallCaps/>
          <w:noProof/>
          <w:sz w:val="18"/>
        </w:rPr>
        <w:t>Aeschlimann-Ziegler, Andrea</w:t>
      </w:r>
      <w:r w:rsidRPr="008F23A0">
        <w:rPr>
          <w:rFonts w:ascii="Times New Roman" w:hAnsi="Times New Roman"/>
          <w:noProof/>
          <w:sz w:val="18"/>
        </w:rPr>
        <w:t>, Der Anspruch auf ausreichenden und unentgeltlichen Grundschulunterricht von Kindern und Jugendlichen mit Behinderung,</w:t>
      </w:r>
      <w:r w:rsidR="00933A83">
        <w:rPr>
          <w:rFonts w:ascii="Times New Roman" w:hAnsi="Times New Roman"/>
          <w:noProof/>
          <w:sz w:val="18"/>
        </w:rPr>
        <w:t xml:space="preserve"> </w:t>
      </w:r>
      <w:r w:rsidRPr="008F23A0">
        <w:rPr>
          <w:rFonts w:ascii="Times New Roman" w:hAnsi="Times New Roman"/>
          <w:noProof/>
          <w:sz w:val="18"/>
        </w:rPr>
        <w:t>Bern 2011</w:t>
      </w:r>
    </w:p>
    <w:p w14:paraId="00E9CADE" w14:textId="1235DBE0"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Belser, Eva Maria</w:t>
      </w:r>
      <w:r w:rsidRPr="008F23A0">
        <w:rPr>
          <w:rFonts w:ascii="Times New Roman" w:hAnsi="Times New Roman"/>
          <w:noProof/>
          <w:sz w:val="18"/>
        </w:rPr>
        <w:t>/</w:t>
      </w:r>
      <w:r w:rsidRPr="008F23A0">
        <w:rPr>
          <w:rFonts w:ascii="Times New Roman" w:hAnsi="Times New Roman"/>
          <w:smallCaps/>
          <w:noProof/>
          <w:sz w:val="18"/>
        </w:rPr>
        <w:t>Hänni, Peter</w:t>
      </w:r>
      <w:r w:rsidRPr="008F23A0">
        <w:rPr>
          <w:rFonts w:ascii="Times New Roman" w:hAnsi="Times New Roman"/>
          <w:noProof/>
          <w:sz w:val="18"/>
        </w:rPr>
        <w:t>, Die Rechte der Kinder – Zu den Grundrechten Minderjähriger und der Schwierigkeit ihrer rechtlichen Durchsetzung, in: AJP 1998, S.</w:t>
      </w:r>
      <w:r w:rsidR="00933A83">
        <w:rPr>
          <w:rFonts w:ascii="Times New Roman" w:hAnsi="Times New Roman"/>
          <w:noProof/>
          <w:sz w:val="18"/>
        </w:rPr>
        <w:t xml:space="preserve"> </w:t>
      </w:r>
      <w:r w:rsidRPr="008F23A0">
        <w:rPr>
          <w:rFonts w:ascii="Times New Roman" w:hAnsi="Times New Roman"/>
          <w:noProof/>
          <w:sz w:val="18"/>
        </w:rPr>
        <w:t>139 ff.</w:t>
      </w:r>
    </w:p>
    <w:p w14:paraId="51FEF50F" w14:textId="3740CADC"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Blum-Schneider, Brigitte</w:t>
      </w:r>
      <w:r w:rsidRPr="008F23A0">
        <w:rPr>
          <w:rFonts w:ascii="Times New Roman" w:hAnsi="Times New Roman"/>
          <w:noProof/>
          <w:sz w:val="18"/>
        </w:rPr>
        <w:t>, Pflege schwer kranker Kinder zu Hause – Wer leistet und wer bezahlt?, in: Pflegerecht 2012, S.</w:t>
      </w:r>
      <w:r w:rsidR="00933A83">
        <w:rPr>
          <w:rFonts w:ascii="Times New Roman" w:hAnsi="Times New Roman"/>
          <w:noProof/>
          <w:sz w:val="18"/>
        </w:rPr>
        <w:t xml:space="preserve"> </w:t>
      </w:r>
      <w:r w:rsidRPr="008F23A0">
        <w:rPr>
          <w:rFonts w:ascii="Times New Roman" w:hAnsi="Times New Roman"/>
          <w:noProof/>
          <w:sz w:val="18"/>
        </w:rPr>
        <w:t>194 ff.</w:t>
      </w:r>
    </w:p>
    <w:p w14:paraId="483D093A" w14:textId="4BB33363"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Gächter, Thomas</w:t>
      </w:r>
      <w:r w:rsidRPr="008F23A0">
        <w:rPr>
          <w:rFonts w:ascii="Times New Roman" w:hAnsi="Times New Roman"/>
          <w:noProof/>
          <w:sz w:val="18"/>
        </w:rPr>
        <w:t>/</w:t>
      </w:r>
      <w:r w:rsidRPr="008F23A0">
        <w:rPr>
          <w:rFonts w:ascii="Times New Roman" w:hAnsi="Times New Roman"/>
          <w:smallCaps/>
          <w:noProof/>
          <w:sz w:val="18"/>
        </w:rPr>
        <w:t>Cruchon, Saskia</w:t>
      </w:r>
      <w:r w:rsidRPr="008F23A0">
        <w:rPr>
          <w:rFonts w:ascii="Times New Roman" w:hAnsi="Times New Roman"/>
          <w:noProof/>
          <w:sz w:val="18"/>
        </w:rPr>
        <w:t>, Das behinderte Kind im Sozialversicherungsrecht,</w:t>
      </w:r>
      <w:r w:rsidRPr="008F23A0">
        <w:rPr>
          <w:rFonts w:ascii="Times New Roman" w:hAnsi="Times New Roman"/>
          <w:noProof/>
        </w:rPr>
        <w:t xml:space="preserve"> </w:t>
      </w:r>
      <w:r w:rsidRPr="008F23A0">
        <w:rPr>
          <w:rFonts w:ascii="Times New Roman" w:hAnsi="Times New Roman"/>
          <w:noProof/>
          <w:sz w:val="18"/>
        </w:rPr>
        <w:t>in: Franziska Sprecher/Patrick Sutter</w:t>
      </w:r>
      <w:r w:rsidRPr="008F23A0">
        <w:rPr>
          <w:rFonts w:ascii="Times New Roman" w:hAnsi="Times New Roman"/>
          <w:noProof/>
        </w:rPr>
        <w:t xml:space="preserve"> </w:t>
      </w:r>
      <w:r w:rsidRPr="008F23A0">
        <w:rPr>
          <w:rFonts w:ascii="Times New Roman" w:hAnsi="Times New Roman"/>
          <w:noProof/>
          <w:sz w:val="18"/>
        </w:rPr>
        <w:t>(Hrsg.),</w:t>
      </w:r>
      <w:r w:rsidR="00933A83">
        <w:rPr>
          <w:rFonts w:ascii="Times New Roman" w:hAnsi="Times New Roman"/>
          <w:noProof/>
          <w:sz w:val="18"/>
        </w:rPr>
        <w:t xml:space="preserve"> </w:t>
      </w:r>
      <w:r w:rsidRPr="008F23A0">
        <w:rPr>
          <w:rFonts w:ascii="Times New Roman" w:hAnsi="Times New Roman"/>
          <w:noProof/>
          <w:sz w:val="18"/>
        </w:rPr>
        <w:t>Das behinderte Kind im schweizerischen Recht, Zürich 2006, S.</w:t>
      </w:r>
      <w:r w:rsidR="00933A83">
        <w:rPr>
          <w:rFonts w:ascii="Times New Roman" w:hAnsi="Times New Roman"/>
          <w:noProof/>
          <w:sz w:val="18"/>
        </w:rPr>
        <w:t xml:space="preserve"> </w:t>
      </w:r>
      <w:r w:rsidRPr="008F23A0">
        <w:rPr>
          <w:rFonts w:ascii="Times New Roman" w:hAnsi="Times New Roman"/>
          <w:noProof/>
          <w:sz w:val="18"/>
        </w:rPr>
        <w:t>143 ff.</w:t>
      </w:r>
    </w:p>
    <w:p w14:paraId="527FBE4F" w14:textId="3E62E7C6"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Gysi</w:t>
      </w:r>
      <w:r w:rsidR="00804553">
        <w:rPr>
          <w:rFonts w:ascii="Times New Roman" w:hAnsi="Times New Roman"/>
          <w:smallCaps/>
          <w:noProof/>
          <w:sz w:val="18"/>
        </w:rPr>
        <w:t>-Stadlin</w:t>
      </w:r>
      <w:r w:rsidRPr="008F23A0">
        <w:rPr>
          <w:rFonts w:ascii="Times New Roman" w:hAnsi="Times New Roman"/>
          <w:smallCaps/>
          <w:noProof/>
          <w:sz w:val="18"/>
        </w:rPr>
        <w:t>, Barbara</w:t>
      </w:r>
      <w:r w:rsidRPr="008F23A0">
        <w:rPr>
          <w:rFonts w:ascii="Times New Roman" w:hAnsi="Times New Roman"/>
          <w:noProof/>
          <w:sz w:val="18"/>
        </w:rPr>
        <w:t>, Pädagogische Förderung Behinderter in der Schweiz – erste Auswertung der kantonalen Gesetzgebungen zur erzieherischen schulischen und beruflichen Förderung Behinderter,</w:t>
      </w:r>
      <w:r w:rsidRPr="008F23A0">
        <w:rPr>
          <w:rFonts w:ascii="Times New Roman" w:hAnsi="Times New Roman"/>
          <w:noProof/>
        </w:rPr>
        <w:t xml:space="preserve"> </w:t>
      </w:r>
      <w:r w:rsidRPr="008F23A0">
        <w:rPr>
          <w:rFonts w:ascii="Times New Roman" w:hAnsi="Times New Roman"/>
          <w:noProof/>
          <w:sz w:val="18"/>
        </w:rPr>
        <w:t xml:space="preserve">Luzern 1979 </w:t>
      </w:r>
    </w:p>
    <w:p w14:paraId="73A0AB40" w14:textId="53D0C600"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Landolt, Hardy</w:t>
      </w:r>
      <w:r w:rsidRPr="008F23A0">
        <w:rPr>
          <w:rFonts w:ascii="Times New Roman" w:hAnsi="Times New Roman"/>
          <w:noProof/>
          <w:sz w:val="18"/>
        </w:rPr>
        <w:t>, Sozialrechtliche Stellung von Kindern und Jugendlichen, insbesondere von Frühinvaliden und Studierenden, in: SZS 2004, S.</w:t>
      </w:r>
      <w:r w:rsidR="00933A83">
        <w:rPr>
          <w:rFonts w:ascii="Times New Roman" w:hAnsi="Times New Roman"/>
          <w:noProof/>
          <w:sz w:val="18"/>
        </w:rPr>
        <w:t xml:space="preserve"> </w:t>
      </w:r>
      <w:r w:rsidRPr="008F23A0">
        <w:rPr>
          <w:rFonts w:ascii="Times New Roman" w:hAnsi="Times New Roman"/>
          <w:noProof/>
          <w:sz w:val="18"/>
        </w:rPr>
        <w:t>228 ff.</w:t>
      </w:r>
    </w:p>
    <w:p w14:paraId="30406641" w14:textId="443B4075"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Landolt, Hardy</w:t>
      </w:r>
      <w:r w:rsidRPr="008F23A0">
        <w:rPr>
          <w:rFonts w:ascii="Times New Roman" w:hAnsi="Times New Roman"/>
          <w:noProof/>
          <w:sz w:val="18"/>
        </w:rPr>
        <w:t>, Bundesgericht, II. Öffentliche Abteilung, Urteil vom 24.11.2004, (2P.190/2004) i.S. X. c. Schulgemeinde C., Schulgemeinden Näfels und Mollis, Er</w:t>
      </w:r>
      <w:r w:rsidR="00D44D62">
        <w:rPr>
          <w:rFonts w:ascii="Times New Roman" w:hAnsi="Times New Roman"/>
          <w:noProof/>
          <w:sz w:val="18"/>
        </w:rPr>
        <w:softHyphen/>
      </w:r>
      <w:r w:rsidRPr="008F23A0">
        <w:rPr>
          <w:rFonts w:ascii="Times New Roman" w:hAnsi="Times New Roman"/>
          <w:noProof/>
          <w:sz w:val="18"/>
        </w:rPr>
        <w:t>ziehungsdirektion des Kanton Glarus und Verwaltungsgericht des Kanton Glarus, in: AJP 2005, S.</w:t>
      </w:r>
      <w:r w:rsidR="00933A83">
        <w:rPr>
          <w:rFonts w:ascii="Times New Roman" w:hAnsi="Times New Roman"/>
          <w:noProof/>
          <w:sz w:val="18"/>
        </w:rPr>
        <w:t xml:space="preserve"> </w:t>
      </w:r>
      <w:r w:rsidRPr="008F23A0">
        <w:rPr>
          <w:rFonts w:ascii="Times New Roman" w:hAnsi="Times New Roman"/>
          <w:noProof/>
          <w:sz w:val="18"/>
        </w:rPr>
        <w:t>619 ff.</w:t>
      </w:r>
    </w:p>
    <w:p w14:paraId="54A6A44B" w14:textId="01CE38CA"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Landolt, Hardy</w:t>
      </w:r>
      <w:r w:rsidRPr="008F23A0">
        <w:rPr>
          <w:rFonts w:ascii="Times New Roman" w:hAnsi="Times New Roman"/>
          <w:noProof/>
          <w:sz w:val="18"/>
        </w:rPr>
        <w:t>, Soziale Sicherheit pflegender Angehöriger, in: AJP 2009, S.</w:t>
      </w:r>
      <w:r w:rsidR="00933A83">
        <w:rPr>
          <w:rFonts w:ascii="Times New Roman" w:hAnsi="Times New Roman"/>
          <w:noProof/>
          <w:sz w:val="18"/>
        </w:rPr>
        <w:t xml:space="preserve"> </w:t>
      </w:r>
      <w:r w:rsidRPr="008F23A0">
        <w:rPr>
          <w:rFonts w:ascii="Times New Roman" w:hAnsi="Times New Roman"/>
          <w:noProof/>
          <w:sz w:val="18"/>
        </w:rPr>
        <w:t>1233 ff.</w:t>
      </w:r>
    </w:p>
    <w:p w14:paraId="635B57AD" w14:textId="5F655D12"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Landolt, Hardy</w:t>
      </w:r>
      <w:r w:rsidRPr="008F23A0">
        <w:rPr>
          <w:rFonts w:ascii="Times New Roman" w:hAnsi="Times New Roman"/>
          <w:noProof/>
          <w:sz w:val="18"/>
        </w:rPr>
        <w:t>, Soziale Sicherheit von pflegenden Angehörigen,</w:t>
      </w:r>
      <w:r w:rsidRPr="008F23A0">
        <w:rPr>
          <w:rFonts w:ascii="Times New Roman" w:hAnsi="Times New Roman"/>
          <w:noProof/>
        </w:rPr>
        <w:t xml:space="preserve"> </w:t>
      </w:r>
      <w:r w:rsidRPr="008F23A0">
        <w:rPr>
          <w:rFonts w:ascii="Times New Roman" w:hAnsi="Times New Roman"/>
          <w:noProof/>
          <w:sz w:val="18"/>
        </w:rPr>
        <w:t>in:</w:t>
      </w:r>
      <w:r w:rsidR="00933A83">
        <w:rPr>
          <w:rFonts w:ascii="Times New Roman" w:hAnsi="Times New Roman"/>
          <w:noProof/>
          <w:sz w:val="18"/>
        </w:rPr>
        <w:t xml:space="preserve"> </w:t>
      </w:r>
      <w:r w:rsidRPr="008F23A0">
        <w:rPr>
          <w:rFonts w:ascii="Times New Roman" w:hAnsi="Times New Roman"/>
          <w:noProof/>
          <w:sz w:val="18"/>
        </w:rPr>
        <w:t>Haftpflichtrecht – Versicherungsrecht. Band 1, Zürich 2010, S.</w:t>
      </w:r>
      <w:r w:rsidR="00933A83">
        <w:rPr>
          <w:rFonts w:ascii="Times New Roman" w:hAnsi="Times New Roman"/>
          <w:noProof/>
          <w:sz w:val="18"/>
        </w:rPr>
        <w:t xml:space="preserve"> </w:t>
      </w:r>
      <w:r w:rsidRPr="008F23A0">
        <w:rPr>
          <w:rFonts w:ascii="Times New Roman" w:hAnsi="Times New Roman"/>
          <w:noProof/>
          <w:sz w:val="18"/>
        </w:rPr>
        <w:t>59 ff.</w:t>
      </w:r>
    </w:p>
    <w:p w14:paraId="0C6F7132" w14:textId="4EB06484"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Ottiger, André</w:t>
      </w:r>
      <w:r w:rsidRPr="008F23A0">
        <w:rPr>
          <w:rFonts w:ascii="Times New Roman" w:hAnsi="Times New Roman"/>
          <w:noProof/>
          <w:sz w:val="18"/>
        </w:rPr>
        <w:t>, Der prekäre Schutz der Frühinvaliden (junge Arbeitskräfte, Lehrlinge, Schnupperlehrlinge und Studenten) in der sozialen Unfallversicherung,</w:t>
      </w:r>
      <w:r w:rsidRPr="008F23A0">
        <w:rPr>
          <w:rFonts w:ascii="Times New Roman" w:hAnsi="Times New Roman"/>
          <w:noProof/>
        </w:rPr>
        <w:t xml:space="preserve"> </w:t>
      </w:r>
      <w:r w:rsidRPr="008F23A0">
        <w:rPr>
          <w:rFonts w:ascii="Times New Roman" w:hAnsi="Times New Roman"/>
          <w:noProof/>
          <w:sz w:val="18"/>
        </w:rPr>
        <w:t>in: René Schaffhauser/Franz Schlauri</w:t>
      </w:r>
      <w:r w:rsidRPr="008F23A0">
        <w:rPr>
          <w:rFonts w:ascii="Times New Roman" w:hAnsi="Times New Roman"/>
          <w:noProof/>
        </w:rPr>
        <w:t xml:space="preserve"> </w:t>
      </w:r>
      <w:r w:rsidRPr="008F23A0">
        <w:rPr>
          <w:rFonts w:ascii="Times New Roman" w:hAnsi="Times New Roman"/>
          <w:noProof/>
          <w:sz w:val="18"/>
        </w:rPr>
        <w:t>(Hrsg.),</w:t>
      </w:r>
      <w:r w:rsidR="00933A83">
        <w:rPr>
          <w:rFonts w:ascii="Times New Roman" w:hAnsi="Times New Roman"/>
          <w:noProof/>
          <w:sz w:val="18"/>
        </w:rPr>
        <w:t xml:space="preserve"> </w:t>
      </w:r>
      <w:r w:rsidRPr="008F23A0">
        <w:rPr>
          <w:rFonts w:ascii="Times New Roman" w:hAnsi="Times New Roman"/>
          <w:noProof/>
          <w:sz w:val="18"/>
        </w:rPr>
        <w:t>Sozialversicherungsrechtstagung 2002, St. Gallen 2002, S.</w:t>
      </w:r>
      <w:r w:rsidR="00933A83">
        <w:rPr>
          <w:rFonts w:ascii="Times New Roman" w:hAnsi="Times New Roman"/>
          <w:noProof/>
          <w:sz w:val="18"/>
        </w:rPr>
        <w:t xml:space="preserve"> </w:t>
      </w:r>
      <w:r w:rsidRPr="008F23A0">
        <w:rPr>
          <w:rFonts w:ascii="Times New Roman" w:hAnsi="Times New Roman"/>
          <w:noProof/>
          <w:sz w:val="18"/>
        </w:rPr>
        <w:t>66 ff.</w:t>
      </w:r>
    </w:p>
    <w:p w14:paraId="49BA3038" w14:textId="600CF8CA"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Pfiffner Rauber, Brigitte</w:t>
      </w:r>
      <w:r w:rsidRPr="008F23A0">
        <w:rPr>
          <w:rFonts w:ascii="Times New Roman" w:hAnsi="Times New Roman"/>
          <w:noProof/>
          <w:sz w:val="18"/>
        </w:rPr>
        <w:t>, Eingliederungsmassnahmen für Kinder und Jugendliche in der Invalidenversicherung, in: SZS 2004, S.</w:t>
      </w:r>
      <w:r w:rsidR="00933A83">
        <w:rPr>
          <w:rFonts w:ascii="Times New Roman" w:hAnsi="Times New Roman"/>
          <w:noProof/>
          <w:sz w:val="18"/>
        </w:rPr>
        <w:t xml:space="preserve"> </w:t>
      </w:r>
      <w:r w:rsidRPr="008F23A0">
        <w:rPr>
          <w:rFonts w:ascii="Times New Roman" w:hAnsi="Times New Roman"/>
          <w:noProof/>
          <w:sz w:val="18"/>
        </w:rPr>
        <w:t>257 ff.</w:t>
      </w:r>
    </w:p>
    <w:p w14:paraId="49DDC89E" w14:textId="6CB1393E"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Procap</w:t>
      </w:r>
      <w:r w:rsidRPr="008F23A0">
        <w:rPr>
          <w:rFonts w:ascii="Times New Roman" w:hAnsi="Times New Roman"/>
          <w:noProof/>
          <w:sz w:val="18"/>
        </w:rPr>
        <w:t>, Was steht meinem Kind zu? Ein sozialversicherungsrechtlicher Ratgeber für Eltern von Kindern mit Behinderung. 4. A.,</w:t>
      </w:r>
      <w:r w:rsidR="00933A83">
        <w:rPr>
          <w:rFonts w:ascii="Times New Roman" w:hAnsi="Times New Roman"/>
          <w:noProof/>
          <w:sz w:val="18"/>
        </w:rPr>
        <w:t xml:space="preserve"> </w:t>
      </w:r>
      <w:r w:rsidRPr="008F23A0">
        <w:rPr>
          <w:rFonts w:ascii="Times New Roman" w:hAnsi="Times New Roman"/>
          <w:noProof/>
          <w:sz w:val="18"/>
        </w:rPr>
        <w:t>Olten 2013</w:t>
      </w:r>
    </w:p>
    <w:p w14:paraId="5623B4DC" w14:textId="4E3CE0FB"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Riemer-Kafka, Gabriela</w:t>
      </w:r>
      <w:r w:rsidRPr="008F23A0">
        <w:rPr>
          <w:rFonts w:ascii="Times New Roman" w:hAnsi="Times New Roman"/>
          <w:noProof/>
          <w:sz w:val="18"/>
        </w:rPr>
        <w:t>, Bildung, Ausbildung und Weiterbildung aus sozialversiche</w:t>
      </w:r>
      <w:r w:rsidR="00933A83">
        <w:rPr>
          <w:rFonts w:ascii="Times New Roman" w:hAnsi="Times New Roman"/>
          <w:noProof/>
          <w:sz w:val="18"/>
        </w:rPr>
        <w:softHyphen/>
      </w:r>
      <w:r w:rsidRPr="008F23A0">
        <w:rPr>
          <w:rFonts w:ascii="Times New Roman" w:hAnsi="Times New Roman"/>
          <w:noProof/>
          <w:sz w:val="18"/>
        </w:rPr>
        <w:t>rungsrechtlicher Sicht, in: SZS 2004, S.</w:t>
      </w:r>
      <w:r w:rsidR="00933A83">
        <w:rPr>
          <w:rFonts w:ascii="Times New Roman" w:hAnsi="Times New Roman"/>
          <w:noProof/>
          <w:sz w:val="18"/>
        </w:rPr>
        <w:t xml:space="preserve"> </w:t>
      </w:r>
      <w:r w:rsidRPr="008F23A0">
        <w:rPr>
          <w:rFonts w:ascii="Times New Roman" w:hAnsi="Times New Roman"/>
          <w:noProof/>
          <w:sz w:val="18"/>
        </w:rPr>
        <w:t>206 ff.</w:t>
      </w:r>
    </w:p>
    <w:p w14:paraId="02742D30" w14:textId="06087C9B"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Riemer-Kafka, Gabriela</w:t>
      </w:r>
      <w:r w:rsidRPr="008F23A0">
        <w:rPr>
          <w:rFonts w:ascii="Times New Roman" w:hAnsi="Times New Roman"/>
          <w:noProof/>
          <w:sz w:val="18"/>
        </w:rPr>
        <w:t>, Kinder und Jugendliche mit Behinderungen – Zwischen Sozialversicherung und Sonderpädagogik. Luzerner Beiträge zur Rechts</w:t>
      </w:r>
      <w:r w:rsidR="00933A83">
        <w:rPr>
          <w:rFonts w:ascii="Times New Roman" w:hAnsi="Times New Roman"/>
          <w:noProof/>
          <w:sz w:val="18"/>
        </w:rPr>
        <w:softHyphen/>
      </w:r>
      <w:r w:rsidRPr="008F23A0">
        <w:rPr>
          <w:rFonts w:ascii="Times New Roman" w:hAnsi="Times New Roman"/>
          <w:noProof/>
          <w:sz w:val="18"/>
        </w:rPr>
        <w:t>wissenschaft. Band 54,</w:t>
      </w:r>
      <w:r w:rsidR="00933A83">
        <w:rPr>
          <w:rFonts w:ascii="Times New Roman" w:hAnsi="Times New Roman"/>
          <w:noProof/>
          <w:sz w:val="18"/>
        </w:rPr>
        <w:t xml:space="preserve"> </w:t>
      </w:r>
      <w:r w:rsidRPr="008F23A0">
        <w:rPr>
          <w:rFonts w:ascii="Times New Roman" w:hAnsi="Times New Roman"/>
          <w:noProof/>
          <w:sz w:val="18"/>
        </w:rPr>
        <w:t>Zürich 2011</w:t>
      </w:r>
    </w:p>
    <w:p w14:paraId="15B42591" w14:textId="7FFDB6EC"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Riemer-Kafka, Gabriela</w:t>
      </w:r>
      <w:r w:rsidRPr="008F23A0">
        <w:rPr>
          <w:rFonts w:ascii="Times New Roman" w:hAnsi="Times New Roman"/>
          <w:noProof/>
          <w:sz w:val="18"/>
        </w:rPr>
        <w:t>, Soziale Sicherheit von Kindern und Jugendlichen. Ihre Rechte insbesondere gegenüber Arbeitgeber, Schule, Eltern, Sozial</w:t>
      </w:r>
      <w:r w:rsidR="00933A83">
        <w:rPr>
          <w:rFonts w:ascii="Times New Roman" w:hAnsi="Times New Roman"/>
          <w:noProof/>
          <w:sz w:val="18"/>
        </w:rPr>
        <w:softHyphen/>
      </w:r>
      <w:r w:rsidRPr="008F23A0">
        <w:rPr>
          <w:rFonts w:ascii="Times New Roman" w:hAnsi="Times New Roman"/>
          <w:noProof/>
          <w:sz w:val="18"/>
        </w:rPr>
        <w:t>versiche</w:t>
      </w:r>
      <w:r w:rsidR="00933A83">
        <w:rPr>
          <w:rFonts w:ascii="Times New Roman" w:hAnsi="Times New Roman"/>
          <w:noProof/>
          <w:sz w:val="18"/>
        </w:rPr>
        <w:softHyphen/>
      </w:r>
      <w:r w:rsidRPr="008F23A0">
        <w:rPr>
          <w:rFonts w:ascii="Times New Roman" w:hAnsi="Times New Roman"/>
          <w:noProof/>
          <w:sz w:val="18"/>
        </w:rPr>
        <w:t>rungen, Sozialhilfe und Opferhilfe,</w:t>
      </w:r>
      <w:r w:rsidR="00933A83">
        <w:rPr>
          <w:rFonts w:ascii="Times New Roman" w:hAnsi="Times New Roman"/>
          <w:noProof/>
          <w:sz w:val="18"/>
        </w:rPr>
        <w:t xml:space="preserve"> </w:t>
      </w:r>
      <w:r w:rsidRPr="008F23A0">
        <w:rPr>
          <w:rFonts w:ascii="Times New Roman" w:hAnsi="Times New Roman"/>
          <w:noProof/>
          <w:sz w:val="18"/>
        </w:rPr>
        <w:t>Bern 2011</w:t>
      </w:r>
    </w:p>
    <w:p w14:paraId="3A0651AF" w14:textId="435F7438"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Schneider-Duffner, Beat</w:t>
      </w:r>
      <w:r w:rsidRPr="008F23A0">
        <w:rPr>
          <w:rFonts w:ascii="Times New Roman" w:hAnsi="Times New Roman"/>
          <w:noProof/>
          <w:sz w:val="18"/>
        </w:rPr>
        <w:t>, Sozialversicherungsrechtliche Leistungen für ausländische Kinder bei Geburtsgebrechen unter dem Blickwinkel menschenrechtlicher Diskriminierungsverbote, in: SZS 2010, S.</w:t>
      </w:r>
      <w:r w:rsidR="00933A83">
        <w:rPr>
          <w:rFonts w:ascii="Times New Roman" w:hAnsi="Times New Roman"/>
          <w:noProof/>
          <w:sz w:val="18"/>
        </w:rPr>
        <w:t xml:space="preserve"> </w:t>
      </w:r>
      <w:r w:rsidRPr="008F23A0">
        <w:rPr>
          <w:rFonts w:ascii="Times New Roman" w:hAnsi="Times New Roman"/>
          <w:noProof/>
          <w:sz w:val="18"/>
        </w:rPr>
        <w:t>334 ff.</w:t>
      </w:r>
    </w:p>
    <w:p w14:paraId="1B04DA08" w14:textId="478F37E8" w:rsidR="00DF2E01" w:rsidRPr="008F23A0" w:rsidRDefault="00DF2E01" w:rsidP="00DF2E01">
      <w:pPr>
        <w:pStyle w:val="EndNoteBibliography"/>
        <w:ind w:left="720" w:hanging="720"/>
        <w:rPr>
          <w:rFonts w:ascii="Times New Roman" w:hAnsi="Times New Roman"/>
          <w:noProof/>
          <w:sz w:val="18"/>
        </w:rPr>
      </w:pPr>
      <w:r w:rsidRPr="008F23A0">
        <w:rPr>
          <w:rFonts w:ascii="Times New Roman" w:hAnsi="Times New Roman"/>
          <w:smallCaps/>
          <w:noProof/>
          <w:sz w:val="18"/>
        </w:rPr>
        <w:t>Siki, Eva</w:t>
      </w:r>
      <w:r w:rsidRPr="008F23A0">
        <w:rPr>
          <w:rFonts w:ascii="Times New Roman" w:hAnsi="Times New Roman"/>
          <w:noProof/>
          <w:sz w:val="18"/>
        </w:rPr>
        <w:t>, Invalidität und Sozialversicherung – Gedanken aus staats-, sozialversiche</w:t>
      </w:r>
      <w:r w:rsidR="00933A83">
        <w:rPr>
          <w:rFonts w:ascii="Times New Roman" w:hAnsi="Times New Roman"/>
          <w:noProof/>
          <w:sz w:val="18"/>
        </w:rPr>
        <w:softHyphen/>
      </w:r>
      <w:r w:rsidRPr="008F23A0">
        <w:rPr>
          <w:rFonts w:ascii="Times New Roman" w:hAnsi="Times New Roman"/>
          <w:noProof/>
          <w:sz w:val="18"/>
        </w:rPr>
        <w:t>rungs- und schadensrechtlicher Sicht,</w:t>
      </w:r>
      <w:r w:rsidR="00933A83">
        <w:rPr>
          <w:rFonts w:ascii="Times New Roman" w:hAnsi="Times New Roman"/>
          <w:noProof/>
          <w:sz w:val="18"/>
        </w:rPr>
        <w:t xml:space="preserve"> </w:t>
      </w:r>
      <w:r w:rsidRPr="008F23A0">
        <w:rPr>
          <w:rFonts w:ascii="Times New Roman" w:hAnsi="Times New Roman"/>
          <w:noProof/>
          <w:sz w:val="18"/>
        </w:rPr>
        <w:t>Zürich 2012</w:t>
      </w:r>
    </w:p>
    <w:p w14:paraId="53B7B4A1" w14:textId="5AABDEAA" w:rsidR="00DF2E01" w:rsidRDefault="00DF2E01" w:rsidP="00933A83">
      <w:pPr>
        <w:pStyle w:val="EndNoteBibliography"/>
        <w:ind w:left="720" w:hanging="720"/>
      </w:pPr>
      <w:r w:rsidRPr="008F23A0">
        <w:rPr>
          <w:rFonts w:ascii="Times New Roman" w:hAnsi="Times New Roman"/>
          <w:smallCaps/>
          <w:noProof/>
          <w:sz w:val="18"/>
        </w:rPr>
        <w:t>Walther-Müller, Peter U.</w:t>
      </w:r>
      <w:r w:rsidRPr="008F23A0">
        <w:rPr>
          <w:rFonts w:ascii="Times New Roman" w:hAnsi="Times New Roman"/>
          <w:noProof/>
          <w:sz w:val="18"/>
        </w:rPr>
        <w:t>/</w:t>
      </w:r>
      <w:r w:rsidRPr="008F23A0">
        <w:rPr>
          <w:rFonts w:ascii="Times New Roman" w:hAnsi="Times New Roman"/>
          <w:smallCaps/>
          <w:noProof/>
          <w:sz w:val="18"/>
        </w:rPr>
        <w:t>Wyss, Herbert</w:t>
      </w:r>
      <w:r w:rsidRPr="008F23A0">
        <w:rPr>
          <w:rFonts w:ascii="Times New Roman" w:hAnsi="Times New Roman"/>
          <w:noProof/>
          <w:sz w:val="18"/>
        </w:rPr>
        <w:t>, Bildung behinderter Kinder und die Sozialversicherung. Der Beitrag der Invalidenversicherung im Kontext des Bildungssystems, in: SZS 2004, S.</w:t>
      </w:r>
      <w:r w:rsidR="00933A83">
        <w:rPr>
          <w:rFonts w:ascii="Times New Roman" w:hAnsi="Times New Roman"/>
          <w:noProof/>
          <w:sz w:val="18"/>
        </w:rPr>
        <w:t xml:space="preserve"> </w:t>
      </w:r>
      <w:r w:rsidRPr="008F23A0">
        <w:rPr>
          <w:rFonts w:ascii="Times New Roman" w:hAnsi="Times New Roman"/>
          <w:noProof/>
          <w:sz w:val="18"/>
        </w:rPr>
        <w:t>275 ff.</w:t>
      </w:r>
      <w:r w:rsidRPr="00DF2E01">
        <w:rPr>
          <w:rFonts w:ascii="Times New Roman" w:hAnsi="Times New Roman"/>
        </w:rPr>
        <w:fldChar w:fldCharType="end"/>
      </w:r>
    </w:p>
    <w:sectPr w:rsidR="00DF2E01">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6" w:h="16838" w:code="9"/>
      <w:pgMar w:top="3204" w:right="2693" w:bottom="3204" w:left="2693" w:header="2041" w:footer="243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3FE0C" w14:textId="77777777" w:rsidR="00457D53" w:rsidRDefault="00457D53">
      <w:r>
        <w:separator/>
      </w:r>
    </w:p>
    <w:p w14:paraId="1FF5ED06" w14:textId="77777777" w:rsidR="00457D53" w:rsidRDefault="00457D53"/>
    <w:p w14:paraId="3892D0C7" w14:textId="77777777" w:rsidR="00457D53" w:rsidRDefault="00457D53"/>
  </w:endnote>
  <w:endnote w:type="continuationSeparator" w:id="0">
    <w:p w14:paraId="4CD322D4" w14:textId="77777777" w:rsidR="00457D53" w:rsidRDefault="00457D53">
      <w:r>
        <w:continuationSeparator/>
      </w:r>
    </w:p>
    <w:p w14:paraId="5AEBEA78" w14:textId="77777777" w:rsidR="00457D53" w:rsidRDefault="00457D53"/>
    <w:p w14:paraId="278ED410" w14:textId="77777777" w:rsidR="00457D53" w:rsidRDefault="00457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Syntax">
    <w:altName w:val="Arial Narrow"/>
    <w:charset w:val="00"/>
    <w:family w:val="swiss"/>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F1ED5" w14:textId="77777777" w:rsidR="00457D53" w:rsidRDefault="00457D53">
    <w:pPr>
      <w:ind w:left="-680"/>
      <w:rPr>
        <w:rFonts w:ascii="Helvetica-Narrow" w:hAnsi="Helvetica-Narrow"/>
        <w:color w:val="808080"/>
        <w:sz w:val="36"/>
      </w:rPr>
    </w:pPr>
    <w:r>
      <w:rPr>
        <w:rStyle w:val="Seitenzahl"/>
      </w:rPr>
      <w:fldChar w:fldCharType="begin"/>
    </w:r>
    <w:r>
      <w:rPr>
        <w:rStyle w:val="Seitenzahl"/>
      </w:rPr>
      <w:instrText xml:space="preserve">PAGE  </w:instrText>
    </w:r>
    <w:r>
      <w:rPr>
        <w:rStyle w:val="Seitenzahl"/>
      </w:rPr>
      <w:fldChar w:fldCharType="separate"/>
    </w:r>
    <w:r w:rsidR="007A77F7">
      <w:rPr>
        <w:rStyle w:val="Seitenzahl"/>
        <w:noProof/>
      </w:rPr>
      <w:t>28</w:t>
    </w:r>
    <w:r>
      <w:rPr>
        <w:rStyle w:val="Seitenzah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9CB14" w14:textId="77777777" w:rsidR="00457D53" w:rsidRDefault="00457D53">
    <w:pPr>
      <w:tabs>
        <w:tab w:val="right" w:pos="7088"/>
      </w:tabs>
      <w:ind w:right="-568"/>
      <w:rPr>
        <w:rFonts w:ascii="Helvetica-Narrow" w:hAnsi="Helvetica-Narrow"/>
        <w:color w:val="808080"/>
        <w:sz w:val="36"/>
      </w:rPr>
    </w:pPr>
    <w:r>
      <w:tab/>
    </w:r>
    <w:r>
      <w:tab/>
    </w:r>
    <w:r>
      <w:rPr>
        <w:rStyle w:val="Seitenzahl"/>
      </w:rPr>
      <w:fldChar w:fldCharType="begin"/>
    </w:r>
    <w:r>
      <w:rPr>
        <w:rStyle w:val="Seitenzahl"/>
      </w:rPr>
      <w:instrText xml:space="preserve">PAGE  </w:instrText>
    </w:r>
    <w:r>
      <w:rPr>
        <w:rStyle w:val="Seitenzahl"/>
      </w:rPr>
      <w:fldChar w:fldCharType="separate"/>
    </w:r>
    <w:r w:rsidR="007A77F7">
      <w:rPr>
        <w:rStyle w:val="Seitenzahl"/>
        <w:noProof/>
      </w:rPr>
      <w:t>27</w:t>
    </w:r>
    <w:r>
      <w:rPr>
        <w:rStyle w:val="Seitenzah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58F4" w14:textId="77777777" w:rsidR="00457D53" w:rsidRDefault="00457D53">
    <w:pPr>
      <w:tabs>
        <w:tab w:val="right" w:pos="7088"/>
      </w:tabs>
      <w:ind w:right="-568"/>
      <w:rPr>
        <w:rStyle w:val="Seitenzahl"/>
      </w:rPr>
    </w:pPr>
    <w:r>
      <w:rPr>
        <w:rStyle w:val="Seitenzahl"/>
        <w:rFonts w:ascii="Arial Narrow" w:hAnsi="Arial Narrow"/>
        <w:b w:val="0"/>
        <w:bCs/>
      </w:rPr>
      <w:tab/>
    </w:r>
    <w:r>
      <w:rPr>
        <w:rStyle w:val="Seitenzahl"/>
        <w:rFonts w:ascii="Arial Narrow" w:hAnsi="Arial Narrow"/>
        <w:b w:val="0"/>
        <w:bCs/>
      </w:rPr>
      <w:tab/>
    </w:r>
    <w:r>
      <w:rPr>
        <w:rStyle w:val="Seitenzahl"/>
      </w:rPr>
      <w:fldChar w:fldCharType="begin"/>
    </w:r>
    <w:r>
      <w:rPr>
        <w:rStyle w:val="Seitenzahl"/>
      </w:rPr>
      <w:instrText xml:space="preserve">PAGE  </w:instrText>
    </w:r>
    <w:r>
      <w:rPr>
        <w:rStyle w:val="Seitenzahl"/>
      </w:rPr>
      <w:fldChar w:fldCharType="separate"/>
    </w:r>
    <w:r w:rsidR="007A77F7">
      <w:rPr>
        <w:rStyle w:val="Seitenzahl"/>
        <w:noProof/>
      </w:rPr>
      <w:t>1</w:t>
    </w:r>
    <w:r>
      <w:rPr>
        <w:rStyle w:val="Seitenzahl"/>
      </w:rPr>
      <w:fldChar w:fldCharType="end"/>
    </w:r>
  </w:p>
  <w:p w14:paraId="5FF58026" w14:textId="77777777" w:rsidR="00457D53" w:rsidRDefault="00457D53">
    <w:pPr>
      <w:tabs>
        <w:tab w:val="right" w:pos="7258"/>
      </w:tabs>
      <w:ind w:right="-1134"/>
    </w:pPr>
  </w:p>
  <w:p w14:paraId="68422737" w14:textId="77777777" w:rsidR="00457D53" w:rsidRDefault="00457D53">
    <w:pPr>
      <w:tabs>
        <w:tab w:val="right" w:pos="7258"/>
      </w:tabs>
      <w:ind w:right="-113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3DD1A" w14:textId="77777777" w:rsidR="00457D53" w:rsidRDefault="00457D53">
      <w:pPr>
        <w:ind w:right="5387"/>
      </w:pPr>
    </w:p>
    <w:p w14:paraId="64D5F0FB" w14:textId="77777777" w:rsidR="00457D53" w:rsidRDefault="00457D53"/>
    <w:p w14:paraId="7E8AB269" w14:textId="77777777" w:rsidR="00457D53" w:rsidRDefault="00457D53"/>
  </w:footnote>
  <w:footnote w:type="continuationSeparator" w:id="0">
    <w:p w14:paraId="4349FE1E" w14:textId="77777777" w:rsidR="00457D53" w:rsidRDefault="00457D53"/>
    <w:p w14:paraId="08A68D48" w14:textId="77777777" w:rsidR="00457D53" w:rsidRDefault="00457D53"/>
    <w:p w14:paraId="7886C876" w14:textId="77777777" w:rsidR="00457D53" w:rsidRDefault="00457D53"/>
  </w:footnote>
  <w:footnote w:id="1">
    <w:p w14:paraId="7E33990B" w14:textId="07545B5F" w:rsidR="00457D53" w:rsidRPr="00AC18A4" w:rsidRDefault="00457D53">
      <w:pPr>
        <w:pStyle w:val="Funotentext"/>
        <w:rPr>
          <w:lang w:val="de-DE"/>
        </w:rPr>
      </w:pPr>
      <w:r w:rsidRPr="00AC18A4">
        <w:rPr>
          <w:rStyle w:val="Funotenzeichen"/>
        </w:rPr>
        <w:t>*</w:t>
      </w:r>
      <w:r w:rsidRPr="00AC18A4">
        <w:t xml:space="preserve"> </w:t>
      </w:r>
      <w:r w:rsidRPr="00AC18A4">
        <w:tab/>
      </w:r>
      <w:r w:rsidRPr="00D44D62">
        <w:rPr>
          <w:lang w:val="de-DE"/>
        </w:rPr>
        <w:t>Prof. Dr. iur. LL.M. Lehrbeauftragter an den Universitäten St. Gallen und Zürich für Haftpflicht-, Privat- und Sozialversicherungs- sowie Gesundheitsrecht, wissenschaftlicher Konsulent des Instituts für Rechtswi</w:t>
      </w:r>
      <w:r w:rsidRPr="00D44D62">
        <w:rPr>
          <w:lang w:val="de-DE"/>
        </w:rPr>
        <w:t>s</w:t>
      </w:r>
      <w:r w:rsidRPr="00D44D62">
        <w:rPr>
          <w:lang w:val="de-DE"/>
        </w:rPr>
        <w:t>senschaft und Rechtspraxis der Universität St. Gallen, sowie Rechtsanwalt und Notar, Glarus.</w:t>
      </w:r>
      <w:bookmarkStart w:id="0" w:name="_GoBack"/>
      <w:r>
        <w:rPr>
          <w:lang w:val="de-DE"/>
        </w:rPr>
        <w:t xml:space="preserve"> Meiner Mi</w:t>
      </w:r>
      <w:r>
        <w:rPr>
          <w:lang w:val="de-DE"/>
        </w:rPr>
        <w:t>t</w:t>
      </w:r>
      <w:r>
        <w:rPr>
          <w:lang w:val="de-DE"/>
        </w:rPr>
        <w:t>arbeiterin lic. iur. Olga Manfredi danke ich für die kritische Durchsicht des Textes.</w:t>
      </w:r>
      <w:bookmarkEnd w:id="0"/>
    </w:p>
  </w:footnote>
  <w:footnote w:id="2">
    <w:p w14:paraId="079282A6" w14:textId="48ABB09A" w:rsidR="00457D53" w:rsidRPr="00AC18A4" w:rsidRDefault="00457D53">
      <w:pPr>
        <w:pStyle w:val="Funotentext"/>
        <w:rPr>
          <w:lang w:val="de-DE"/>
        </w:rPr>
      </w:pPr>
      <w:r w:rsidRPr="00AC18A4">
        <w:rPr>
          <w:rStyle w:val="Funotenzeichen"/>
        </w:rPr>
        <w:footnoteRef/>
      </w:r>
      <w:r>
        <w:t xml:space="preserve"> </w:t>
      </w:r>
      <w:r w:rsidRPr="00AC18A4">
        <w:tab/>
        <w:t>Vgl. Art. 11 Abs. 1 BV und ferner BGE 126 II 377 E. 5d.</w:t>
      </w:r>
    </w:p>
  </w:footnote>
  <w:footnote w:id="3">
    <w:p w14:paraId="1AAABFD9" w14:textId="6AC76956" w:rsidR="00457D53" w:rsidRPr="00AC18A4" w:rsidRDefault="00457D53">
      <w:pPr>
        <w:pStyle w:val="Funotentext"/>
        <w:rPr>
          <w:lang w:val="de-DE"/>
        </w:rPr>
      </w:pPr>
      <w:r w:rsidRPr="00AC18A4">
        <w:rPr>
          <w:rStyle w:val="Funotenzeichen"/>
        </w:rPr>
        <w:footnoteRef/>
      </w:r>
      <w:r>
        <w:t xml:space="preserve"> </w:t>
      </w:r>
      <w:r w:rsidRPr="00AC18A4">
        <w:rPr>
          <w:lang w:val="de-DE"/>
        </w:rPr>
        <w:tab/>
        <w:t>Vgl. Art. 41 Abs. 1 lit. f und g, Art. 67 und 67a BV.</w:t>
      </w:r>
    </w:p>
  </w:footnote>
  <w:footnote w:id="4">
    <w:p w14:paraId="238E9B62" w14:textId="5353C1B1" w:rsidR="00457D53" w:rsidRPr="00AC18A4" w:rsidRDefault="00457D53">
      <w:pPr>
        <w:pStyle w:val="Funotentext"/>
        <w:rPr>
          <w:lang w:val="de-DE"/>
        </w:rPr>
      </w:pPr>
      <w:r w:rsidRPr="00AC18A4">
        <w:rPr>
          <w:rStyle w:val="Funotenzeichen"/>
        </w:rPr>
        <w:footnoteRef/>
      </w:r>
      <w:r>
        <w:t xml:space="preserve"> </w:t>
      </w:r>
      <w:r w:rsidRPr="00AC18A4">
        <w:rPr>
          <w:lang w:val="de-DE"/>
        </w:rPr>
        <w:tab/>
        <w:t>Vgl. Art. 19 und Art. 62 Abs. 3 BV. Aus Art. 19 BV ergibt sich der Anspruch auf eine den individuellen Fähigkeiten des Kindes und seiner Persönlichkeitsentwicklung entsprechende unentgeltliche Grundschu</w:t>
      </w:r>
      <w:r w:rsidRPr="00AC18A4">
        <w:rPr>
          <w:lang w:val="de-DE"/>
        </w:rPr>
        <w:t>l</w:t>
      </w:r>
      <w:r w:rsidRPr="00AC18A4">
        <w:rPr>
          <w:lang w:val="de-DE"/>
        </w:rPr>
        <w:t>ausbildung an öffentlichen Schulen während der obligatorischen Schulzeit von mindestens neun Jahren (vgl. BGE 129 I 12 E. 4).</w:t>
      </w:r>
    </w:p>
  </w:footnote>
  <w:footnote w:id="5">
    <w:p w14:paraId="289C4A82" w14:textId="308A6DED"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r>
      <w:bookmarkStart w:id="2" w:name="OLE_LINK45"/>
      <w:bookmarkStart w:id="3" w:name="OLE_LINK46"/>
      <w:r w:rsidRPr="00AC18A4">
        <w:rPr>
          <w:lang w:val="de-DE"/>
        </w:rPr>
        <w:t>Die Beschränkung des Anspruchs auf invaliditätsbedingte Abänderungen an Motorfahrzeugen auf volljähr</w:t>
      </w:r>
      <w:r w:rsidRPr="00AC18A4">
        <w:rPr>
          <w:lang w:val="de-DE"/>
        </w:rPr>
        <w:t>i</w:t>
      </w:r>
      <w:r w:rsidRPr="00AC18A4">
        <w:rPr>
          <w:lang w:val="de-DE"/>
        </w:rPr>
        <w:t>ge Versicherte widerspricht Gesetz und Verfassung (vgl. BGE 126 V 70 ff.)</w:t>
      </w:r>
      <w:bookmarkEnd w:id="2"/>
      <w:bookmarkEnd w:id="3"/>
      <w:r w:rsidRPr="00AC18A4">
        <w:rPr>
          <w:lang w:val="de-DE"/>
        </w:rPr>
        <w:t>.</w:t>
      </w:r>
    </w:p>
  </w:footnote>
  <w:footnote w:id="6">
    <w:p w14:paraId="6458D8A1" w14:textId="241D797C"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8 Abs. 2 BV.</w:t>
      </w:r>
    </w:p>
  </w:footnote>
  <w:footnote w:id="7">
    <w:p w14:paraId="0003DB29" w14:textId="08D63F4B" w:rsidR="00457D53" w:rsidRPr="00864650" w:rsidRDefault="00457D53">
      <w:pPr>
        <w:pStyle w:val="Funotentext"/>
        <w:rPr>
          <w:lang w:val="de-DE"/>
        </w:rPr>
      </w:pPr>
      <w:r>
        <w:rPr>
          <w:rStyle w:val="Funotenzeichen"/>
        </w:rPr>
        <w:footnoteRef/>
      </w:r>
      <w:r>
        <w:t xml:space="preserve"> </w:t>
      </w:r>
      <w:r>
        <w:rPr>
          <w:lang w:val="de-DE"/>
        </w:rPr>
        <w:tab/>
        <w:t>Als Geburtsgebrechen gelten gemäss Art. 1 Abs. 1 GgV diejenigen Krankheiten, welche bei vollendeter Geburt bestehen, eine blosse Veranlagung zu einem Leiden erfüllt die versicherungsrechtlichen Vorau</w:t>
      </w:r>
      <w:r>
        <w:rPr>
          <w:lang w:val="de-DE"/>
        </w:rPr>
        <w:t>s</w:t>
      </w:r>
      <w:r>
        <w:rPr>
          <w:lang w:val="de-DE"/>
        </w:rPr>
        <w:t>setzungen nicht. Wann ein Geburtsgebrechen erkannt wird, ist unerheblich. Entscheidend ist, dass das haftungsbegründende Verhalten vor vollendeter Geburt eintritt.</w:t>
      </w:r>
    </w:p>
  </w:footnote>
  <w:footnote w:id="8">
    <w:p w14:paraId="69F3B037" w14:textId="2D20D0AC"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 xml:space="preserve">Vgl. Art. 1a Abs. 1 UVG und ferner </w:t>
      </w:r>
      <w:r w:rsidRPr="00AC18A4">
        <w:rPr>
          <w:lang w:val="de-DE"/>
        </w:rPr>
        <w:fldChar w:fldCharType="begin"/>
      </w:r>
      <w:r w:rsidRPr="00AC18A4">
        <w:rPr>
          <w:lang w:val="de-DE"/>
        </w:rPr>
        <w:instrText xml:space="preserve"> ADDIN EN.CITE &lt;EndNote&gt;&lt;Cite&gt;&lt;Author&gt;André&lt;/Author&gt;&lt;Year&gt;2002&lt;/Year&gt;&lt;RecNum&gt;7&lt;/RecNum&gt;&lt;DisplayText&gt;&lt;style face="smallcaps" size="9"&gt;Ottiger, André&lt;/style&gt;&lt;style size="9"&gt;, Der prekäre Schutz der Frühinvaliden (junge Arbeitskräfte, Lehrlinge, Schnupperlehrlinge und Studenten) in der sozialen Unfallversicherung,&lt;/style&gt; &lt;style size="9"&gt;in: René Schaffhauser/Franz Schlauri&lt;/style&gt; &lt;style size="9"&gt;(Hrsg.),  Sozialversicherungsrechtstagung 2002, St. Gallen 2002, S.  66 ff.;&lt;/style&gt;&lt;/DisplayText&gt;&lt;record&gt;&lt;rec-number&gt;7&lt;/rec-number&gt;&lt;foreign-keys&gt;&lt;key app="EN" db-id="pv2szp929xt9anersx5peeazvdfx9p5a52ps" timestamp="1384618831"&gt;7&lt;/key&gt;&lt;/foreign-keys&gt;&lt;ref-type name="Book Section"&gt;5&lt;/ref-type&gt;&lt;contributors&gt;&lt;authors&gt;&lt;author&gt;Ottiger,André&lt;/author&gt;&lt;/authors&gt;&lt;secondary-authors&gt;&lt;author&gt;Schaffhauser René&lt;/author&gt;&lt;author&gt;Schlauri Franz&lt;/author&gt;&lt;/secondary-authors&gt;&lt;/contributors&gt;&lt;titles&gt;&lt;title&gt;Der prekäre Schutz der Frühinvaliden (junge Arbeitskräfte, Lehrlinge, Schnupperlehrlinge und Studenten) in der sozialen Unfallversicherung&lt;/title&gt;&lt;secondary-title&gt;Sozialversicherungsrechtstagung 2002&lt;/secondary-title&gt;&lt;/titles&gt;&lt;pages&gt;66 ff.&lt;/pages&gt;&lt;dates&gt;&lt;year&gt;2002&lt;/year&gt;&lt;/dates&gt;&lt;pub-location&gt;St. Gallen&lt;/pub-location&gt;&lt;urls&gt;&lt;/urls&gt;&lt;/record&gt;&lt;/Cite&gt;&lt;/EndNote&gt;</w:instrText>
      </w:r>
      <w:r w:rsidRPr="00AC18A4">
        <w:rPr>
          <w:lang w:val="de-DE"/>
        </w:rPr>
        <w:fldChar w:fldCharType="separate"/>
      </w:r>
      <w:r w:rsidRPr="00AC18A4">
        <w:rPr>
          <w:smallCaps/>
          <w:lang w:val="de-DE"/>
        </w:rPr>
        <w:t>Ottiger, André</w:t>
      </w:r>
      <w:r w:rsidRPr="00AC18A4">
        <w:rPr>
          <w:lang w:val="de-DE"/>
        </w:rPr>
        <w:t>, Der prekäre Schutz der Frühinvaliden (junge Arbeit</w:t>
      </w:r>
      <w:r w:rsidRPr="00AC18A4">
        <w:rPr>
          <w:lang w:val="de-DE"/>
        </w:rPr>
        <w:t>s</w:t>
      </w:r>
      <w:r w:rsidRPr="00AC18A4">
        <w:rPr>
          <w:lang w:val="de-DE"/>
        </w:rPr>
        <w:t>kräfte, Lehrlinge, Schnupperlehrlinge und Studenten) in der sozialen Unfallversicherung, in: René Schaf</w:t>
      </w:r>
      <w:r w:rsidRPr="00AC18A4">
        <w:rPr>
          <w:lang w:val="de-DE"/>
        </w:rPr>
        <w:t>f</w:t>
      </w:r>
      <w:r w:rsidRPr="00AC18A4">
        <w:rPr>
          <w:lang w:val="de-DE"/>
        </w:rPr>
        <w:t>hauser/Franz Schlauri (Hrsg.), Sozialversicherungsrechtstagung 2002, St. Gallen 2002, S. 66 ff.</w:t>
      </w:r>
      <w:r w:rsidRPr="00AC18A4">
        <w:rPr>
          <w:lang w:val="de-DE"/>
        </w:rPr>
        <w:fldChar w:fldCharType="end"/>
      </w:r>
    </w:p>
  </w:footnote>
  <w:footnote w:id="9">
    <w:p w14:paraId="10353218" w14:textId="3DC91154" w:rsidR="00457D53" w:rsidRPr="00AC18A4" w:rsidRDefault="00457D53">
      <w:pPr>
        <w:pStyle w:val="Funotentext"/>
        <w:rPr>
          <w:lang w:val="de-DE"/>
        </w:rPr>
      </w:pPr>
      <w:r w:rsidRPr="00AC18A4">
        <w:rPr>
          <w:rStyle w:val="Funotenzeichen"/>
        </w:rPr>
        <w:footnoteRef/>
      </w:r>
      <w:r w:rsidRPr="00AC18A4">
        <w:t xml:space="preserve"> </w:t>
      </w:r>
      <w:r w:rsidRPr="00AC18A4">
        <w:tab/>
      </w:r>
      <w:r>
        <w:rPr>
          <w:lang w:val="de-DE"/>
        </w:rPr>
        <w:t>Vgl. Art. 3 Abs. 2 lit. b</w:t>
      </w:r>
      <w:r w:rsidRPr="00AC18A4">
        <w:rPr>
          <w:lang w:val="de-DE"/>
        </w:rPr>
        <w:t xml:space="preserve"> AHVG und Art. 2 Abs. 1 BVG.</w:t>
      </w:r>
    </w:p>
  </w:footnote>
  <w:footnote w:id="10">
    <w:p w14:paraId="6ED1DCBD" w14:textId="6D7539E4"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19 Abs. 3 ZGB.</w:t>
      </w:r>
    </w:p>
  </w:footnote>
  <w:footnote w:id="11">
    <w:p w14:paraId="1B59A245" w14:textId="77777777" w:rsidR="00457D53" w:rsidRPr="00AC18A4" w:rsidRDefault="00457D53" w:rsidP="00A80749">
      <w:pPr>
        <w:pStyle w:val="Funotentext"/>
      </w:pPr>
      <w:r w:rsidRPr="00AC18A4">
        <w:rPr>
          <w:rStyle w:val="Funotenzeichen"/>
          <w:position w:val="-3"/>
          <w:sz w:val="20"/>
        </w:rPr>
        <w:footnoteRef/>
      </w:r>
      <w:r w:rsidRPr="00AC18A4">
        <w:t xml:space="preserve"> </w:t>
      </w:r>
      <w:r w:rsidRPr="00AC18A4">
        <w:rPr>
          <w:rStyle w:val="Funotenzeichen"/>
          <w:sz w:val="20"/>
        </w:rPr>
        <w:tab/>
      </w:r>
      <w:r w:rsidRPr="00AC18A4">
        <w:t>Vgl. Art. 18 ZGB.</w:t>
      </w:r>
    </w:p>
  </w:footnote>
  <w:footnote w:id="12">
    <w:p w14:paraId="58B2F16E" w14:textId="77777777" w:rsidR="00457D53" w:rsidRPr="00AC18A4" w:rsidRDefault="00457D53" w:rsidP="00A80749">
      <w:pPr>
        <w:pStyle w:val="Funotentext"/>
      </w:pPr>
      <w:r w:rsidRPr="00AC18A4">
        <w:rPr>
          <w:rStyle w:val="Funotenzeichen"/>
          <w:rFonts w:eastAsia="MS ????"/>
          <w:position w:val="-3"/>
          <w:sz w:val="20"/>
        </w:rPr>
        <w:footnoteRef/>
      </w:r>
      <w:r w:rsidRPr="00AC18A4">
        <w:t xml:space="preserve"> </w:t>
      </w:r>
      <w:r w:rsidRPr="00AC18A4">
        <w:rPr>
          <w:rStyle w:val="Funotenzeichen"/>
          <w:rFonts w:eastAsia="MS ????"/>
          <w:sz w:val="20"/>
        </w:rPr>
        <w:tab/>
      </w:r>
      <w:r w:rsidRPr="00AC18A4">
        <w:t>Vgl. Art. 54 OR.</w:t>
      </w:r>
    </w:p>
  </w:footnote>
  <w:footnote w:id="13">
    <w:p w14:paraId="19EB8AC2" w14:textId="77777777" w:rsidR="00457D53" w:rsidRPr="00AC18A4" w:rsidRDefault="00457D53" w:rsidP="00104E28">
      <w:pPr>
        <w:pStyle w:val="Funotentext"/>
        <w:rPr>
          <w:lang w:val="en-US"/>
        </w:rPr>
      </w:pPr>
      <w:r w:rsidRPr="00AC18A4">
        <w:rPr>
          <w:rStyle w:val="Funotenzeichen"/>
          <w:position w:val="-3"/>
          <w:sz w:val="20"/>
        </w:rPr>
        <w:footnoteRef/>
      </w:r>
      <w:r w:rsidRPr="00AC18A4">
        <w:rPr>
          <w:lang w:val="en-US"/>
        </w:rPr>
        <w:t xml:space="preserve"> </w:t>
      </w:r>
      <w:r w:rsidRPr="00AC18A4">
        <w:rPr>
          <w:rStyle w:val="Funotenzeichen"/>
          <w:sz w:val="20"/>
          <w:lang w:val="en-US"/>
        </w:rPr>
        <w:tab/>
      </w:r>
      <w:r w:rsidRPr="00AC18A4">
        <w:rPr>
          <w:lang w:val="en-US"/>
        </w:rPr>
        <w:t>Vgl. BGE 102 II 363 E. 4.</w:t>
      </w:r>
    </w:p>
  </w:footnote>
  <w:footnote w:id="14">
    <w:p w14:paraId="61958B80" w14:textId="28D328BD" w:rsidR="00457D53" w:rsidRPr="00AC18A4" w:rsidRDefault="00457D53" w:rsidP="00010A3C">
      <w:pPr>
        <w:pStyle w:val="Funotentext"/>
      </w:pPr>
      <w:r w:rsidRPr="00AC18A4">
        <w:rPr>
          <w:rStyle w:val="Funotenzeichen"/>
          <w:position w:val="-3"/>
          <w:sz w:val="20"/>
        </w:rPr>
        <w:footnoteRef/>
      </w:r>
      <w:r w:rsidRPr="00AC18A4">
        <w:t xml:space="preserve"> </w:t>
      </w:r>
      <w:r w:rsidRPr="00AC18A4">
        <w:rPr>
          <w:rStyle w:val="Funotenzeichen"/>
          <w:sz w:val="20"/>
        </w:rPr>
        <w:tab/>
      </w:r>
      <w:r w:rsidRPr="00AC18A4">
        <w:t xml:space="preserve">Vgl. Urteile </w:t>
      </w:r>
      <w:r>
        <w:t xml:space="preserve">des </w:t>
      </w:r>
      <w:r w:rsidRPr="00AC18A4">
        <w:t>BGer vom 31.03.2008 (4A.520/2007) E. 5.3 und vom 24.02.2004 (4C.225/2003) = HAVE 2004, 226 E. 5.2.</w:t>
      </w:r>
    </w:p>
  </w:footnote>
  <w:footnote w:id="15">
    <w:p w14:paraId="411599EC" w14:textId="3C56C09B" w:rsidR="00457D53" w:rsidRPr="00AC18A4" w:rsidRDefault="00457D53" w:rsidP="00010A3C">
      <w:pPr>
        <w:pStyle w:val="Funotentext"/>
      </w:pPr>
      <w:r w:rsidRPr="00AC18A4">
        <w:rPr>
          <w:rStyle w:val="Funotenzeichen"/>
          <w:position w:val="-3"/>
          <w:sz w:val="20"/>
        </w:rPr>
        <w:footnoteRef/>
      </w:r>
      <w:r w:rsidRPr="00AC18A4">
        <w:t xml:space="preserve"> </w:t>
      </w:r>
      <w:r w:rsidRPr="00AC18A4">
        <w:rPr>
          <w:rStyle w:val="Funotenzeichen"/>
          <w:sz w:val="20"/>
        </w:rPr>
        <w:tab/>
      </w:r>
      <w:r w:rsidRPr="00AC18A4">
        <w:t xml:space="preserve">Vgl. </w:t>
      </w:r>
      <w:hyperlink r:id="rId1" w:anchor="page94" w:history="1">
        <w:r>
          <w:rPr>
            <w:bCs/>
          </w:rPr>
          <w:t>BGE 102 II 363 E. 4,</w:t>
        </w:r>
        <w:r w:rsidRPr="00AC18A4">
          <w:rPr>
            <w:bCs/>
          </w:rPr>
          <w:t xml:space="preserve"> 93 II 94</w:t>
        </w:r>
      </w:hyperlink>
      <w:r>
        <w:t xml:space="preserve">/95, </w:t>
      </w:r>
      <w:r w:rsidRPr="00AC18A4">
        <w:rPr>
          <w:bCs/>
        </w:rPr>
        <w:t>66 II 200</w:t>
      </w:r>
      <w:r w:rsidRPr="00AC18A4">
        <w:t>/201 und</w:t>
      </w:r>
      <w:r>
        <w:t xml:space="preserve"> </w:t>
      </w:r>
      <w:r w:rsidRPr="00AC18A4">
        <w:rPr>
          <w:bCs/>
        </w:rPr>
        <w:t>62 II 316</w:t>
      </w:r>
      <w:r w:rsidRPr="00AC18A4">
        <w:t>/317.</w:t>
      </w:r>
    </w:p>
  </w:footnote>
  <w:footnote w:id="16">
    <w:p w14:paraId="3A1D247A" w14:textId="78929CFC"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72 ff. ATSG.</w:t>
      </w:r>
    </w:p>
  </w:footnote>
  <w:footnote w:id="17">
    <w:p w14:paraId="5EE8AD61" w14:textId="77777777" w:rsidR="00457D53" w:rsidRPr="00AC18A4" w:rsidRDefault="00457D53" w:rsidP="00CC3B64">
      <w:pPr>
        <w:pStyle w:val="Funotentext"/>
        <w:rPr>
          <w:lang w:val="de-DE"/>
        </w:rPr>
      </w:pPr>
      <w:r w:rsidRPr="00AC18A4">
        <w:rPr>
          <w:rStyle w:val="Funotenzeichen"/>
        </w:rPr>
        <w:footnoteRef/>
      </w:r>
      <w:r w:rsidRPr="00AC18A4">
        <w:t xml:space="preserve"> </w:t>
      </w:r>
      <w:r w:rsidRPr="00AC18A4">
        <w:tab/>
      </w:r>
      <w:r w:rsidRPr="00AC18A4">
        <w:rPr>
          <w:lang w:val="de-DE"/>
        </w:rPr>
        <w:t>Vgl. Art. 75 Abs. 1 ATSG.</w:t>
      </w:r>
    </w:p>
  </w:footnote>
  <w:footnote w:id="18">
    <w:p w14:paraId="6F54A279" w14:textId="48E0DE5F" w:rsidR="00457D53" w:rsidRPr="00AC18A4" w:rsidRDefault="00457D53">
      <w:pPr>
        <w:pStyle w:val="Funotentext"/>
        <w:rPr>
          <w:lang w:val="de-DE"/>
        </w:rPr>
      </w:pPr>
      <w:r w:rsidRPr="00AC18A4">
        <w:rPr>
          <w:rStyle w:val="Funotenzeichen"/>
        </w:rPr>
        <w:footnoteRef/>
      </w:r>
      <w:r>
        <w:t xml:space="preserve"> </w:t>
      </w:r>
      <w:r w:rsidRPr="00AC18A4">
        <w:rPr>
          <w:lang w:val="de-DE"/>
        </w:rPr>
        <w:tab/>
        <w:t>Vgl. Art. 21 Abs. 1 und 2 ATSG.</w:t>
      </w:r>
    </w:p>
  </w:footnote>
  <w:footnote w:id="19">
    <w:p w14:paraId="2CFF6538" w14:textId="4B65326C" w:rsidR="00457D53" w:rsidRPr="00AC18A4" w:rsidRDefault="00457D53">
      <w:pPr>
        <w:pStyle w:val="Funotentext"/>
        <w:rPr>
          <w:lang w:val="de-DE"/>
        </w:rPr>
      </w:pPr>
      <w:r w:rsidRPr="00AC18A4">
        <w:rPr>
          <w:rStyle w:val="Funotenzeichen"/>
        </w:rPr>
        <w:footnoteRef/>
      </w:r>
      <w:r>
        <w:t xml:space="preserve"> </w:t>
      </w:r>
      <w:r w:rsidRPr="00AC18A4">
        <w:rPr>
          <w:lang w:val="de-DE"/>
        </w:rPr>
        <w:tab/>
        <w:t>Vgl. Art. 13 Abs. 1</w:t>
      </w:r>
      <w:r>
        <w:rPr>
          <w:lang w:val="de-DE"/>
        </w:rPr>
        <w:t xml:space="preserve"> i.V.m.</w:t>
      </w:r>
      <w:r w:rsidRPr="00AC18A4">
        <w:rPr>
          <w:lang w:val="de-DE"/>
        </w:rPr>
        <w:t xml:space="preserve"> Art. 14 IVG.</w:t>
      </w:r>
    </w:p>
  </w:footnote>
  <w:footnote w:id="20">
    <w:p w14:paraId="12A8D797" w14:textId="05878CB1" w:rsidR="00457D53" w:rsidRPr="00AC18A4" w:rsidRDefault="00457D53">
      <w:pPr>
        <w:pStyle w:val="Funotentext"/>
        <w:rPr>
          <w:lang w:val="de-DE"/>
        </w:rPr>
      </w:pPr>
      <w:r w:rsidRPr="00AC18A4">
        <w:rPr>
          <w:rStyle w:val="Funotenzeichen"/>
        </w:rPr>
        <w:footnoteRef/>
      </w:r>
      <w:r>
        <w:t xml:space="preserve"> </w:t>
      </w:r>
      <w:r w:rsidRPr="00AC18A4">
        <w:rPr>
          <w:lang w:val="de-DE"/>
        </w:rPr>
        <w:tab/>
        <w:t>Vgl. Art. 13 Abs. 1 IVG. Ein Anspruch auf Übernahme der Behandlung von Geburtsgebrechen über das vollendete 20. Altersjahr hinaus kann auch nicht gestützt auf die Rechtsfigur der Austauschbefugnis b</w:t>
      </w:r>
      <w:r w:rsidRPr="00AC18A4">
        <w:rPr>
          <w:lang w:val="de-DE"/>
        </w:rPr>
        <w:t>e</w:t>
      </w:r>
      <w:r w:rsidRPr="00AC18A4">
        <w:rPr>
          <w:lang w:val="de-DE"/>
        </w:rPr>
        <w:t xml:space="preserve">gründet werden (vgl. BGE 120 V 277 ff.). </w:t>
      </w:r>
    </w:p>
  </w:footnote>
  <w:footnote w:id="21">
    <w:p w14:paraId="737F744C" w14:textId="479440D3"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Für Kinder im Sinne von Art</w:t>
      </w:r>
      <w:r>
        <w:rPr>
          <w:lang w:val="de-DE"/>
        </w:rPr>
        <w:t>.</w:t>
      </w:r>
      <w:r w:rsidRPr="00AC18A4">
        <w:rPr>
          <w:lang w:val="de-DE"/>
        </w:rPr>
        <w:t> 9 Abs</w:t>
      </w:r>
      <w:r>
        <w:rPr>
          <w:lang w:val="de-DE"/>
        </w:rPr>
        <w:t>.</w:t>
      </w:r>
      <w:r w:rsidRPr="00AC18A4">
        <w:rPr>
          <w:lang w:val="de-DE"/>
        </w:rPr>
        <w:t xml:space="preserve"> 3 </w:t>
      </w:r>
      <w:r>
        <w:rPr>
          <w:lang w:val="de-DE"/>
        </w:rPr>
        <w:t>lit.</w:t>
      </w:r>
      <w:r w:rsidRPr="00AC18A4">
        <w:rPr>
          <w:lang w:val="de-DE"/>
        </w:rPr>
        <w:t> b IVG, die im Ausland invalid geboren sind, übernimmt die Inval</w:t>
      </w:r>
      <w:r w:rsidRPr="00AC18A4">
        <w:rPr>
          <w:lang w:val="de-DE"/>
        </w:rPr>
        <w:t>i</w:t>
      </w:r>
      <w:r w:rsidRPr="00AC18A4">
        <w:rPr>
          <w:lang w:val="de-DE"/>
        </w:rPr>
        <w:t>denversicherung bei Geburtsgebrechen die Leistungen während drei Monaten nach der Geburt in dem Umfang, in dem sie in der Schweiz gewährt werden müssten (vgl. Art. 4</w:t>
      </w:r>
      <w:r w:rsidRPr="00391C2E">
        <w:rPr>
          <w:vertAlign w:val="superscript"/>
          <w:lang w:val="de-DE"/>
        </w:rPr>
        <w:t>ter</w:t>
      </w:r>
      <w:r w:rsidRPr="00AC18A4">
        <w:rPr>
          <w:lang w:val="de-DE"/>
        </w:rPr>
        <w:t xml:space="preserve"> IVV).</w:t>
      </w:r>
    </w:p>
  </w:footnote>
  <w:footnote w:id="22">
    <w:p w14:paraId="209B1203" w14:textId="12F0A5E6" w:rsidR="00457D53" w:rsidRPr="00AC18A4" w:rsidRDefault="00457D53">
      <w:pPr>
        <w:pStyle w:val="Funotentext"/>
        <w:rPr>
          <w:lang w:val="de-DE"/>
        </w:rPr>
      </w:pPr>
      <w:r w:rsidRPr="00AC18A4">
        <w:rPr>
          <w:rStyle w:val="Funotenzeichen"/>
        </w:rPr>
        <w:footnoteRef/>
      </w:r>
      <w:r w:rsidRPr="00AC18A4">
        <w:t xml:space="preserve"> </w:t>
      </w:r>
      <w:r w:rsidRPr="00AC18A4">
        <w:tab/>
        <w:t>Vgl. BGE 136 V 209 E. 7 und 10.</w:t>
      </w:r>
    </w:p>
  </w:footnote>
  <w:footnote w:id="23">
    <w:p w14:paraId="03C9E90C" w14:textId="2A8F0F1C" w:rsidR="00457D53" w:rsidRPr="00AC18A4" w:rsidRDefault="00457D53" w:rsidP="00A64BCF">
      <w:pPr>
        <w:pStyle w:val="Funotentext"/>
        <w:rPr>
          <w:lang w:val="de-DE"/>
        </w:rPr>
      </w:pPr>
      <w:r w:rsidRPr="00AC18A4">
        <w:rPr>
          <w:rStyle w:val="Funotenzeichen"/>
        </w:rPr>
        <w:footnoteRef/>
      </w:r>
      <w:r>
        <w:t xml:space="preserve"> </w:t>
      </w:r>
      <w:r w:rsidRPr="00AC18A4">
        <w:rPr>
          <w:lang w:val="de-DE"/>
        </w:rPr>
        <w:tab/>
        <w:t>Vgl. BGE 136 V 209 E. 8.</w:t>
      </w:r>
    </w:p>
  </w:footnote>
  <w:footnote w:id="24">
    <w:p w14:paraId="3853DE77" w14:textId="5D4902B1" w:rsidR="00457D53" w:rsidRPr="00AC18A4" w:rsidRDefault="00457D53" w:rsidP="00A64BCF">
      <w:pPr>
        <w:pStyle w:val="Funotentext"/>
        <w:rPr>
          <w:lang w:val="de-DE"/>
        </w:rPr>
      </w:pPr>
      <w:r w:rsidRPr="00AC18A4">
        <w:rPr>
          <w:rStyle w:val="Funotenzeichen"/>
        </w:rPr>
        <w:footnoteRef/>
      </w:r>
      <w:r w:rsidRPr="00AC18A4">
        <w:t xml:space="preserve"> </w:t>
      </w:r>
      <w:r w:rsidRPr="00AC18A4">
        <w:tab/>
        <w:t>Vgl. Urteil</w:t>
      </w:r>
      <w:r>
        <w:t xml:space="preserve"> des </w:t>
      </w:r>
      <w:r w:rsidRPr="00AC18A4">
        <w:t xml:space="preserve"> BGer vom 10.06.2011 (</w:t>
      </w:r>
      <w:bookmarkStart w:id="17" w:name="OLE_LINK29"/>
      <w:bookmarkStart w:id="18" w:name="OLE_LINK30"/>
      <w:r w:rsidRPr="00AC18A4">
        <w:t>9C_886/2010</w:t>
      </w:r>
      <w:bookmarkEnd w:id="17"/>
      <w:bookmarkEnd w:id="18"/>
      <w:r w:rsidRPr="00AC18A4">
        <w:t>) E. 4.5.</w:t>
      </w:r>
    </w:p>
  </w:footnote>
  <w:footnote w:id="25">
    <w:p w14:paraId="18C3B54C" w14:textId="635554F2"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 xml:space="preserve">Weiterführend </w:t>
      </w:r>
      <w:r w:rsidRPr="00391C2E">
        <w:rPr>
          <w:lang w:val="de-DE"/>
        </w:rPr>
        <w:fldChar w:fldCharType="begin"/>
      </w:r>
      <w:r w:rsidRPr="00391C2E">
        <w:rPr>
          <w:lang w:val="de-DE"/>
        </w:rPr>
        <w:instrText xml:space="preserve"> ADDIN EN.CITE &lt;EndNote&gt;&lt;Cite&gt;&lt;Author&gt;Brigitte&lt;/Author&gt;&lt;Year&gt;2012&lt;/Year&gt;&lt;RecNum&gt;14&lt;/RecNum&gt;&lt;DisplayText&gt;&lt;style face="smallcaps" size="9"&gt;Blum-Schneider, Brigitte&lt;/style&gt;&lt;style size="9"&gt;, Pflege schwer kranker Kinder zu Hause – Wer leistet und wer bezahlt?, in: Pflegerecht 2012, S.  194 ff.;&lt;/style&gt;&lt;/DisplayText&gt;&lt;record&gt;&lt;rec-number&gt;14&lt;/rec-number&gt;&lt;foreign-keys&gt;&lt;key app="EN" db-id="pv2szp929xt9anersx5peeazvdfx9p5a52ps" timestamp="1384619473"&gt;14&lt;/key&gt;&lt;/foreign-keys&gt;&lt;ref-type name="Journal Article"&gt;17&lt;/ref-type&gt;&lt;contributors&gt;&lt;authors&gt;&lt;author&gt;Blum-Schneider, Brigitte&lt;/author&gt;&lt;/authors&gt;&lt;/contributors&gt;&lt;titles&gt;&lt;title&gt;Pflege schwer kranker Kinder zu Hause – Wer leistet und wer bezahlt?&lt;/title&gt;&lt;secondary-title&gt;Pflegerecht&lt;/secondary-title&gt;&lt;/titles&gt;&lt;periodical&gt;&lt;full-title&gt;Pflegerecht&lt;/full-title&gt;&lt;/periodical&gt;&lt;pages&gt;194 ff.&lt;/pages&gt;&lt;volume&gt;2012&lt;/volume&gt;&lt;dates&gt;&lt;year&gt;2012&lt;/year&gt;&lt;/dates&gt;&lt;urls&gt;&lt;/urls&gt;&lt;/record&gt;&lt;/Cite&gt;&lt;/EndNote&gt;</w:instrText>
      </w:r>
      <w:r w:rsidRPr="00391C2E">
        <w:rPr>
          <w:lang w:val="de-DE"/>
        </w:rPr>
        <w:fldChar w:fldCharType="separate"/>
      </w:r>
      <w:r w:rsidRPr="00391C2E">
        <w:rPr>
          <w:smallCaps/>
          <w:lang w:val="de-DE"/>
        </w:rPr>
        <w:t>Blum-Schneider, Brigitte</w:t>
      </w:r>
      <w:r w:rsidRPr="00391C2E">
        <w:rPr>
          <w:lang w:val="de-DE"/>
        </w:rPr>
        <w:t>, Pflege schwer kranker Kinder zu Hause – Wer leistet und wer bezahlt?, in: Pflegerecht 2012, S. 194 ff.</w:t>
      </w:r>
      <w:r w:rsidRPr="00391C2E">
        <w:rPr>
          <w:lang w:val="de-DE"/>
        </w:rPr>
        <w:fldChar w:fldCharType="end"/>
      </w:r>
      <w:r>
        <w:rPr>
          <w:lang w:val="de-DE"/>
        </w:rPr>
        <w:t>,</w:t>
      </w:r>
      <w:r w:rsidRPr="00391C2E">
        <w:rPr>
          <w:lang w:val="de-DE"/>
        </w:rPr>
        <w:t xml:space="preserve"> und </w:t>
      </w:r>
      <w:r w:rsidRPr="00391C2E">
        <w:rPr>
          <w:lang w:val="de-DE"/>
        </w:rPr>
        <w:fldChar w:fldCharType="begin"/>
      </w:r>
      <w:r w:rsidRPr="00391C2E">
        <w:rPr>
          <w:lang w:val="de-DE"/>
        </w:rPr>
        <w:instrText xml:space="preserve"> ADDIN EN.CITE &lt;EndNote&gt;&lt;Cite&gt;&lt;Author&gt;Hardy&lt;/Author&gt;&lt;Year&gt;2010&lt;/Year&gt;&lt;RecNum&gt;15&lt;/RecNum&gt;&lt;DisplayText&gt;&lt;style face="smallcaps" size="9"&gt;Landolt, Hardy&lt;/style&gt;&lt;style size="9"&gt;, Soziale Sicherheit von pflegenden Angehörigen,&lt;/style&gt; &lt;style size="9"&gt;in:  Haftpflichtrecht – Versicherungsrecht. Band 1, Zürich 2010, S.  59 ff.;&lt;/style&gt;&lt;/DisplayText&gt;&lt;record&gt;&lt;rec-number&gt;15&lt;/rec-number&gt;&lt;foreign-keys&gt;&lt;key app="EN" db-id="pv2szp929xt9anersx5peeazvdfx9p5a52ps" timestamp="1384621114"&gt;15&lt;/key&gt;&lt;/foreign-keys&gt;&lt;ref-type name="Book Section"&gt;5&lt;/ref-type&gt;&lt;contributors&gt;&lt;authors&gt;&lt;author&gt;Landolt, Hardy&lt;/author&gt;&lt;/authors&gt;&lt;/contributors&gt;&lt;titles&gt;&lt;title&gt; Soziale Sicherheit von pflegenden Angehörigen&lt;/title&gt;&lt;secondary-title&gt;Haftpflichtrecht – Versicherungsrecht. Band 1&lt;/secondary-title&gt;&lt;/titles&gt;&lt;pages&gt;59 ff.&lt;/pages&gt;&lt;dates&gt;&lt;year&gt;2010&lt;/year&gt;&lt;/dates&gt;&lt;pub-location&gt;Zürich&lt;/pub-location&gt;&lt;urls&gt;&lt;/urls&gt;&lt;/record&gt;&lt;/Cite&gt;&lt;/EndNote&gt;</w:instrText>
      </w:r>
      <w:r w:rsidRPr="00391C2E">
        <w:rPr>
          <w:lang w:val="de-DE"/>
        </w:rPr>
        <w:fldChar w:fldCharType="separate"/>
      </w:r>
      <w:r w:rsidRPr="00391C2E">
        <w:rPr>
          <w:smallCaps/>
          <w:lang w:val="de-DE"/>
        </w:rPr>
        <w:t>Landolt, Hardy</w:t>
      </w:r>
      <w:r w:rsidRPr="00391C2E">
        <w:rPr>
          <w:lang w:val="de-DE"/>
        </w:rPr>
        <w:t>, Soziale Sicherheit von pflegenden Angeh</w:t>
      </w:r>
      <w:r w:rsidRPr="00391C2E">
        <w:rPr>
          <w:lang w:val="de-DE"/>
        </w:rPr>
        <w:t>ö</w:t>
      </w:r>
      <w:r w:rsidRPr="00391C2E">
        <w:rPr>
          <w:lang w:val="de-DE"/>
        </w:rPr>
        <w:t>rigen, in: Haftpflichtrecht – Versicherungsrecht. Band 1, Zürich 2010, S. 59 ff.</w:t>
      </w:r>
      <w:r w:rsidRPr="00391C2E">
        <w:rPr>
          <w:lang w:val="de-DE"/>
        </w:rPr>
        <w:fldChar w:fldCharType="end"/>
      </w:r>
    </w:p>
  </w:footnote>
  <w:footnote w:id="26">
    <w:p w14:paraId="6E5CABA5" w14:textId="14430146"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Vgl. Art. 7 ff. KLV.</w:t>
      </w:r>
    </w:p>
  </w:footnote>
  <w:footnote w:id="27">
    <w:p w14:paraId="48D2D52A" w14:textId="7AB4CCA5"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Dazu infra Ziffer E.</w:t>
      </w:r>
    </w:p>
  </w:footnote>
  <w:footnote w:id="28">
    <w:p w14:paraId="1F556884" w14:textId="3EC1B179" w:rsidR="00457D53" w:rsidRPr="00AC18A4" w:rsidRDefault="00457D53" w:rsidP="000F0793">
      <w:pPr>
        <w:pStyle w:val="Funotentext"/>
      </w:pPr>
      <w:r w:rsidRPr="00AC18A4">
        <w:rPr>
          <w:rStyle w:val="Funotenzeichen"/>
        </w:rPr>
        <w:footnoteRef/>
      </w:r>
      <w:r w:rsidRPr="00AC18A4">
        <w:t xml:space="preserve"> </w:t>
      </w:r>
      <w:r w:rsidRPr="00AC18A4">
        <w:tab/>
        <w:t xml:space="preserve">Vgl. </w:t>
      </w:r>
      <w:r w:rsidRPr="00AC18A4">
        <w:rPr>
          <w:lang w:bidi="de-DE"/>
        </w:rPr>
        <w:t xml:space="preserve">BGE 111 V 324. </w:t>
      </w:r>
    </w:p>
  </w:footnote>
  <w:footnote w:id="29">
    <w:p w14:paraId="2A9741B5" w14:textId="4CE78E44" w:rsidR="00457D53" w:rsidRPr="00AC18A4" w:rsidRDefault="00457D53" w:rsidP="000F0793">
      <w:pPr>
        <w:pStyle w:val="Funotentext"/>
      </w:pPr>
      <w:r w:rsidRPr="00AC18A4">
        <w:rPr>
          <w:rStyle w:val="Funotenzeichen"/>
        </w:rPr>
        <w:footnoteRef/>
      </w:r>
      <w:r w:rsidRPr="00AC18A4">
        <w:t xml:space="preserve"> </w:t>
      </w:r>
      <w:r w:rsidRPr="00AC18A4">
        <w:tab/>
        <w:t xml:space="preserve">Vgl. </w:t>
      </w:r>
      <w:r>
        <w:rPr>
          <w:lang w:bidi="de-DE"/>
        </w:rPr>
        <w:t xml:space="preserve">BGE 126 V 330 = RKUV 2000, </w:t>
      </w:r>
      <w:r w:rsidRPr="00AC18A4">
        <w:rPr>
          <w:lang w:bidi="de-DE"/>
        </w:rPr>
        <w:t>288 E. 1b.</w:t>
      </w:r>
    </w:p>
  </w:footnote>
  <w:footnote w:id="30">
    <w:p w14:paraId="07C0879C" w14:textId="39E4CFCA" w:rsidR="00457D53" w:rsidRPr="00AC18A4" w:rsidRDefault="00457D53" w:rsidP="000F0793">
      <w:pPr>
        <w:pStyle w:val="Funotentext"/>
        <w:rPr>
          <w:rFonts w:cs="Helvetica"/>
        </w:rPr>
      </w:pPr>
      <w:r w:rsidRPr="00AC18A4">
        <w:rPr>
          <w:rStyle w:val="Funotenzeichen"/>
        </w:rPr>
        <w:footnoteRef/>
      </w:r>
      <w:r w:rsidRPr="00AC18A4">
        <w:t xml:space="preserve"> </w:t>
      </w:r>
      <w:r w:rsidRPr="00AC18A4">
        <w:tab/>
        <w:t>Vgl. BGE 133 V 218 E. 6 und Urteile EVG vom 2</w:t>
      </w:r>
      <w:r>
        <w:t xml:space="preserve">0.12.1999 i.S. X. = RKUV 2000, </w:t>
      </w:r>
      <w:r w:rsidRPr="00AC18A4">
        <w:t>77 (betreffend ärztliche Behandlung durch den Ehegatten) bzw. vom 20.</w:t>
      </w:r>
      <w:r>
        <w:t xml:space="preserve">12.1999 i.S. X. = RKUV 2000, </w:t>
      </w:r>
      <w:r w:rsidRPr="00AC18A4">
        <w:t>82 (betreffend ärztliche B</w:t>
      </w:r>
      <w:r w:rsidRPr="00AC18A4">
        <w:t>e</w:t>
      </w:r>
      <w:r w:rsidRPr="00AC18A4">
        <w:t>handlung durch einen Elternteil).</w:t>
      </w:r>
    </w:p>
  </w:footnote>
  <w:footnote w:id="31">
    <w:p w14:paraId="001F30C3" w14:textId="7560D23F" w:rsidR="00457D53" w:rsidRPr="00AC18A4" w:rsidRDefault="00457D53" w:rsidP="000F0793">
      <w:pPr>
        <w:pStyle w:val="Funotentext"/>
      </w:pPr>
      <w:r w:rsidRPr="00AC18A4">
        <w:rPr>
          <w:rStyle w:val="Funotenzeichen"/>
        </w:rPr>
        <w:footnoteRef/>
      </w:r>
      <w:r w:rsidRPr="00AC18A4">
        <w:t xml:space="preserve"> </w:t>
      </w:r>
      <w:r w:rsidRPr="00AC18A4">
        <w:tab/>
        <w:t xml:space="preserve">Vgl. </w:t>
      </w:r>
      <w:r w:rsidRPr="00AC18A4">
        <w:rPr>
          <w:lang w:bidi="de-DE"/>
        </w:rPr>
        <w:t xml:space="preserve">Urteil </w:t>
      </w:r>
      <w:r>
        <w:rPr>
          <w:lang w:bidi="de-DE"/>
        </w:rPr>
        <w:t xml:space="preserve">des </w:t>
      </w:r>
      <w:r w:rsidRPr="00AC18A4">
        <w:rPr>
          <w:lang w:bidi="de-DE"/>
        </w:rPr>
        <w:t>BGer vom 10.05.2007 (K 141/06 und K 145/06) E. 5.2.</w:t>
      </w:r>
      <w:r w:rsidRPr="00AC18A4">
        <w:t xml:space="preserve"> </w:t>
      </w:r>
    </w:p>
  </w:footnote>
  <w:footnote w:id="32">
    <w:p w14:paraId="479E4816" w14:textId="20D5DDEC" w:rsidR="00457D53" w:rsidRPr="00AC18A4" w:rsidRDefault="00457D53" w:rsidP="000B53DB">
      <w:pPr>
        <w:pStyle w:val="Funotentext"/>
      </w:pPr>
      <w:r w:rsidRPr="00AC18A4">
        <w:rPr>
          <w:rStyle w:val="Funotenzeichen"/>
        </w:rPr>
        <w:footnoteRef/>
      </w:r>
      <w:r w:rsidRPr="00AC18A4">
        <w:t xml:space="preserve"> </w:t>
      </w:r>
      <w:r w:rsidRPr="00AC18A4">
        <w:tab/>
        <w:t xml:space="preserve">Vgl. </w:t>
      </w:r>
      <w:r w:rsidRPr="00AC18A4">
        <w:rPr>
          <w:lang w:bidi="de-DE"/>
        </w:rPr>
        <w:t xml:space="preserve">Urteil </w:t>
      </w:r>
      <w:r>
        <w:rPr>
          <w:lang w:bidi="de-DE"/>
        </w:rPr>
        <w:t xml:space="preserve">des </w:t>
      </w:r>
      <w:r w:rsidRPr="00AC18A4">
        <w:rPr>
          <w:lang w:bidi="de-DE"/>
        </w:rPr>
        <w:t>EVG vom 21.06.2006 (</w:t>
      </w:r>
      <w:bookmarkStart w:id="20" w:name="OLE_LINK37"/>
      <w:bookmarkStart w:id="21" w:name="OLE_LINK38"/>
      <w:r w:rsidRPr="00AC18A4">
        <w:rPr>
          <w:lang w:bidi="de-DE"/>
        </w:rPr>
        <w:t>K 156/04</w:t>
      </w:r>
      <w:bookmarkEnd w:id="20"/>
      <w:bookmarkEnd w:id="21"/>
      <w:r w:rsidRPr="00AC18A4">
        <w:rPr>
          <w:lang w:bidi="de-DE"/>
        </w:rPr>
        <w:t xml:space="preserve">) = </w:t>
      </w:r>
      <w:r>
        <w:rPr>
          <w:rFonts w:cs="ArialMT"/>
          <w:lang w:bidi="de-DE"/>
        </w:rPr>
        <w:t xml:space="preserve">RKUV 2006, </w:t>
      </w:r>
      <w:r w:rsidRPr="00AC18A4">
        <w:rPr>
          <w:rFonts w:cs="ArialMT"/>
          <w:lang w:bidi="de-DE"/>
        </w:rPr>
        <w:t xml:space="preserve">303 </w:t>
      </w:r>
      <w:r w:rsidRPr="00AC18A4">
        <w:rPr>
          <w:lang w:bidi="de-DE"/>
        </w:rPr>
        <w:t>E. 4.</w:t>
      </w:r>
    </w:p>
  </w:footnote>
  <w:footnote w:id="33">
    <w:p w14:paraId="0509F55E" w14:textId="150161AA" w:rsidR="00457D53" w:rsidRPr="00AC18A4" w:rsidRDefault="00457D53">
      <w:pPr>
        <w:pStyle w:val="Funotentext"/>
        <w:rPr>
          <w:b/>
          <w:lang w:val="de-DE"/>
        </w:rPr>
      </w:pPr>
      <w:r w:rsidRPr="00AC18A4">
        <w:rPr>
          <w:rStyle w:val="Funotenzeichen"/>
        </w:rPr>
        <w:footnoteRef/>
      </w:r>
      <w:r w:rsidRPr="00AC18A4">
        <w:t xml:space="preserve"> </w:t>
      </w:r>
      <w:r w:rsidRPr="00AC18A4">
        <w:rPr>
          <w:lang w:val="de-DE"/>
        </w:rPr>
        <w:tab/>
        <w:t xml:space="preserve">Vgl. Urteil </w:t>
      </w:r>
      <w:r>
        <w:rPr>
          <w:lang w:val="de-DE"/>
        </w:rPr>
        <w:t xml:space="preserve">des </w:t>
      </w:r>
      <w:r w:rsidRPr="00AC18A4">
        <w:rPr>
          <w:lang w:val="de-DE"/>
        </w:rPr>
        <w:t>BGer vom 19.12.2007 (</w:t>
      </w:r>
      <w:r w:rsidRPr="00AC18A4">
        <w:t>9C_597/2007) E. 5.2.</w:t>
      </w:r>
    </w:p>
  </w:footnote>
  <w:footnote w:id="34">
    <w:p w14:paraId="7FF0D90C" w14:textId="051D4096" w:rsidR="00457D53" w:rsidRPr="00AC18A4" w:rsidRDefault="00457D53" w:rsidP="00EA5A58">
      <w:pPr>
        <w:pStyle w:val="Funotentext"/>
        <w:rPr>
          <w:lang w:val="de-DE"/>
        </w:rPr>
      </w:pPr>
      <w:r w:rsidRPr="00AC18A4">
        <w:rPr>
          <w:rStyle w:val="Funotenzeichen"/>
        </w:rPr>
        <w:footnoteRef/>
      </w:r>
      <w:r w:rsidRPr="00AC18A4">
        <w:t xml:space="preserve"> </w:t>
      </w:r>
      <w:r w:rsidRPr="00AC18A4">
        <w:rPr>
          <w:lang w:val="de-DE"/>
        </w:rPr>
        <w:tab/>
        <w:t xml:space="preserve">Vgl. Art. 19 und Art. 73 f. aIVG sowie </w:t>
      </w:r>
      <w:r w:rsidRPr="00A43FDF">
        <w:rPr>
          <w:lang w:val="de-DE"/>
        </w:rPr>
        <w:fldChar w:fldCharType="begin"/>
      </w:r>
      <w:r w:rsidRPr="00A43FDF">
        <w:rPr>
          <w:lang w:val="de-DE"/>
        </w:rPr>
        <w:instrText xml:space="preserve"> ADDIN EN.CITE &lt;EndNote&gt;&lt;Cite&gt;&lt;Author&gt;U.&lt;/Author&gt;&lt;Year&gt;2004&lt;/Year&gt;&lt;RecNum&gt;13&lt;/RecNum&gt;&lt;DisplayText&gt;&lt;style face="smallcaps" size="9"&gt;Walther-Müller, Peter U.&lt;/style&gt;&lt;style size="9"&gt;/&lt;/style&gt;&lt;style face="smallcaps" size="9"&gt;Wyss, Herbert&lt;/style&gt;&lt;style size="9"&gt;, Bildung behinderter Kinder und die Sozialversicherung. Der Beitrag der Invalidenversicherung im Kontext des Bildungssystems, in: SZS 2004, S.  275 ff.;&lt;/style&gt;&lt;/DisplayText&gt;&lt;record&gt;&lt;rec-number&gt;13&lt;/rec-number&gt;&lt;foreign-keys&gt;&lt;key app="EN" db-id="pv2szp929xt9anersx5peeazvdfx9p5a52ps" timestamp="1384619279"&gt;13&lt;/key&gt;&lt;/foreign-keys&gt;&lt;ref-type name="Journal Article"&gt;17&lt;/ref-type&gt;&lt;contributors&gt;&lt;authors&gt;&lt;author&gt;Walther-Müller, Peter U.&lt;/author&gt;&lt;author&gt;Wyss, Herbert&lt;/author&gt;&lt;/authors&gt;&lt;/contributors&gt;&lt;titles&gt;&lt;title&gt;Bildung behinderter Kinder und die Sozialversicherung. Der Beitrag der Invalidenversicherung im Kontext des Bildungssystems&lt;/title&gt;&lt;secondary-title&gt;SZS&lt;/secondary-title&gt;&lt;/titles&gt;&lt;periodical&gt;&lt;full-title&gt;SZS&lt;/full-title&gt;&lt;/periodical&gt;&lt;pages&gt;275 ff.&lt;/pages&gt;&lt;volume&gt;2004&lt;/volume&gt;&lt;dates&gt;&lt;year&gt;2004&lt;/year&gt;&lt;/dates&gt;&lt;urls&gt;&lt;/urls&gt;&lt;/record&gt;&lt;/Cite&gt;&lt;/EndNote&gt;</w:instrText>
      </w:r>
      <w:r w:rsidRPr="00A43FDF">
        <w:rPr>
          <w:lang w:val="de-DE"/>
        </w:rPr>
        <w:fldChar w:fldCharType="separate"/>
      </w:r>
      <w:r w:rsidRPr="00A43FDF">
        <w:rPr>
          <w:smallCaps/>
          <w:lang w:val="de-DE"/>
        </w:rPr>
        <w:t>Walther-Müller, Peter U./Wyss, Herbert</w:t>
      </w:r>
      <w:r w:rsidRPr="00A43FDF">
        <w:rPr>
          <w:lang w:val="de-DE"/>
        </w:rPr>
        <w:t>, Bildung behinderter Kinder und die Sozialversicherung. Der Beitrag der Invalidenversicherung im Kontext des Bildungssystems, in: SZS 2004, S. 275 ff.</w:t>
      </w:r>
      <w:r w:rsidRPr="00A43FDF">
        <w:rPr>
          <w:lang w:val="de-DE"/>
        </w:rPr>
        <w:fldChar w:fldCharType="end"/>
      </w:r>
    </w:p>
  </w:footnote>
  <w:footnote w:id="35">
    <w:p w14:paraId="30EBD73E" w14:textId="4CAEDBEA" w:rsidR="00457D53" w:rsidRPr="00AC18A4" w:rsidRDefault="00457D53">
      <w:pPr>
        <w:pStyle w:val="Funotentext"/>
        <w:rPr>
          <w:lang w:val="de-DE"/>
        </w:rPr>
      </w:pPr>
      <w:r w:rsidRPr="00AC18A4">
        <w:rPr>
          <w:rStyle w:val="Funotenzeichen"/>
        </w:rPr>
        <w:footnoteRef/>
      </w:r>
      <w:r w:rsidRPr="00AC18A4">
        <w:t xml:space="preserve"> </w:t>
      </w:r>
      <w:r w:rsidRPr="00AC18A4">
        <w:tab/>
        <w:t>Vgl. Art. 62 Abs. 3 BV.</w:t>
      </w:r>
    </w:p>
  </w:footnote>
  <w:footnote w:id="36">
    <w:p w14:paraId="70F527B8" w14:textId="7DFFDFAE"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Vgl. Art. 8 Abs. 2 BV.</w:t>
      </w:r>
    </w:p>
  </w:footnote>
  <w:footnote w:id="37">
    <w:p w14:paraId="070E46E5" w14:textId="3FB21D28"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 xml:space="preserve">Siehe </w:t>
      </w:r>
      <w:r w:rsidRPr="00A43FDF">
        <w:rPr>
          <w:lang w:val="de-DE"/>
        </w:rPr>
        <w:fldChar w:fldCharType="begin"/>
      </w:r>
      <w:r w:rsidRPr="00A43FDF">
        <w:rPr>
          <w:lang w:val="de-DE"/>
        </w:rPr>
        <w:instrText xml:space="preserve"> ADDIN EN.CITE &lt;EndNote&gt;&lt;Cite&gt;&lt;Author&gt;Hardy&lt;/Author&gt;&lt;Year&gt;2005&lt;/Year&gt;&lt;RecNum&gt;5&lt;/RecNum&gt;&lt;DisplayText&gt;&lt;style face="smallcaps" size="9"&gt;Landolt, Hardy&lt;/style&gt;&lt;style size="9"&gt;, Bundesgericht, II. Öffentliche Abteilung, Urteil vom 24.11.2004, ( 2P.190/2004 ) i.S. X. c. Schulgemeinde C., Schulgemeinden Näfels und Mollis, Erziehungsdirektion des Kanton Glarus und Verwaltungsgericht des Kanton Glarus, in: AJP 2005, S.  619 ff.;&lt;/style&gt;&lt;/DisplayText&gt;&lt;record&gt;&lt;rec-number&gt;5&lt;/rec-number&gt;&lt;foreign-keys&gt;&lt;key app="EN" db-id="pv2szp929xt9anersx5peeazvdfx9p5a52ps" timestamp="1384618686"&gt;5&lt;/key&gt;&lt;/foreign-keys&gt;&lt;ref-type name="Journal Article"&gt;17&lt;/ref-type&gt;&lt;contributors&gt;&lt;authors&gt;&lt;author&gt;Landolt, Hardy&lt;/author&gt;&lt;/authors&gt;&lt;/contributors&gt;&lt;titles&gt;&lt;title&gt;Bundesgericht, II. Öffentliche Abteilung, Urteil vom 24.11.2004, ( 2P.190/2004 ) i.S. X. c. Schulgemeinde C., Schulgemeinden Näfels und Mollis, Erziehungsdirektion des Kanton Glarus und Verwaltungsgericht des Kanton Glarus&lt;/title&gt;&lt;secondary-title&gt;AJP&lt;/secondary-title&gt;&lt;/titles&gt;&lt;periodical&gt;&lt;full-title&gt;AJP&lt;/full-title&gt;&lt;/periodical&gt;&lt;pages&gt;619 ff.&lt;/pages&gt;&lt;volume&gt;2005&lt;/volume&gt;&lt;dates&gt;&lt;year&gt;2005&lt;/year&gt;&lt;/dates&gt;&lt;urls&gt;&lt;/urls&gt;&lt;/record&gt;&lt;/Cite&gt;&lt;/EndNote&gt;</w:instrText>
      </w:r>
      <w:r w:rsidRPr="00A43FDF">
        <w:rPr>
          <w:lang w:val="de-DE"/>
        </w:rPr>
        <w:fldChar w:fldCharType="separate"/>
      </w:r>
      <w:r w:rsidRPr="00A43FDF">
        <w:rPr>
          <w:smallCaps/>
          <w:lang w:val="de-DE"/>
        </w:rPr>
        <w:t>Landolt, Hardy</w:t>
      </w:r>
      <w:r w:rsidRPr="00A43FDF">
        <w:rPr>
          <w:lang w:val="de-DE"/>
        </w:rPr>
        <w:t>, Bundesgericht, II. Öffentliche Abteilung, Urteil vom 24.11.2004, ( 2P.190/2004) i.S. X. c. Schulgemeinde C., Schulgemeinden Näfels und Mollis, Erziehungsdirektion des Kanton Glarus und Verwaltungsgericht des Kanton Glarus, in: AJP 2005, S. 619 ff.</w:t>
      </w:r>
      <w:r w:rsidRPr="00A43FDF">
        <w:rPr>
          <w:lang w:val="de-DE"/>
        </w:rPr>
        <w:fldChar w:fldCharType="end"/>
      </w:r>
    </w:p>
  </w:footnote>
  <w:footnote w:id="38">
    <w:p w14:paraId="74F33840" w14:textId="307812C1" w:rsidR="00457D53" w:rsidRPr="00AC18A4" w:rsidRDefault="00457D53">
      <w:pPr>
        <w:pStyle w:val="Funotentext"/>
        <w:rPr>
          <w:lang w:val="de-DE"/>
        </w:rPr>
      </w:pPr>
      <w:r w:rsidRPr="00AC18A4">
        <w:rPr>
          <w:rStyle w:val="Funotenzeichen"/>
        </w:rPr>
        <w:footnoteRef/>
      </w:r>
      <w:r>
        <w:t xml:space="preserve"> </w:t>
      </w:r>
      <w:r w:rsidRPr="00AC18A4">
        <w:rPr>
          <w:lang w:val="de-DE"/>
        </w:rPr>
        <w:tab/>
        <w:t>Vgl. BGE 138 I 162 E. 3.</w:t>
      </w:r>
    </w:p>
  </w:footnote>
  <w:footnote w:id="39">
    <w:p w14:paraId="7138A003" w14:textId="53CC2BD7"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Ibid. E. 4.</w:t>
      </w:r>
    </w:p>
  </w:footnote>
  <w:footnote w:id="40">
    <w:p w14:paraId="2119701E" w14:textId="5ABAB092"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8 Abs. 3 IVG.</w:t>
      </w:r>
    </w:p>
  </w:footnote>
  <w:footnote w:id="41">
    <w:p w14:paraId="60474082" w14:textId="14DBC3B2"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Versicherte, die infolge Invalidität in der Berufswahl oder in der Ausübung ihrer bisherigen Tätigkeit behi</w:t>
      </w:r>
      <w:r w:rsidRPr="00AC18A4">
        <w:rPr>
          <w:lang w:val="de-DE"/>
        </w:rPr>
        <w:t>n</w:t>
      </w:r>
      <w:r w:rsidRPr="00AC18A4">
        <w:rPr>
          <w:lang w:val="de-DE"/>
        </w:rPr>
        <w:t>dert sind, haben Anspruch auf Berufsberatung (vgl. Art. 15 IVG).</w:t>
      </w:r>
    </w:p>
  </w:footnote>
  <w:footnote w:id="42">
    <w:p w14:paraId="35052892" w14:textId="64591342"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 xml:space="preserve">Weiterführend </w:t>
      </w:r>
      <w:r w:rsidRPr="00A43FDF">
        <w:rPr>
          <w:lang w:val="de-DE"/>
        </w:rPr>
        <w:fldChar w:fldCharType="begin"/>
      </w:r>
      <w:r w:rsidRPr="00A43FDF">
        <w:rPr>
          <w:lang w:val="de-DE"/>
        </w:rPr>
        <w:instrText xml:space="preserve"> ADDIN EN.CITE &lt;EndNote&gt;&lt;Cite&gt;&lt;Author&gt;Brigitte&lt;/Author&gt;&lt;Year&gt;2004&lt;/Year&gt;&lt;RecNum&gt;8&lt;/RecNum&gt;&lt;DisplayText&gt;&lt;style face="smallcaps" size="9"&gt;Pfiffner Rauber, Brigitte&lt;/style&gt;&lt;style size="9"&gt;, Eingliederungsmassnahmen für Kinder und Jugendliche in der Invalidenversicherung, in: SZS 2004, S.  257 ff.;&lt;/style&gt;&lt;/DisplayText&gt;&lt;record&gt;&lt;rec-number&gt;8&lt;/rec-number&gt;&lt;foreign-keys&gt;&lt;key app="EN" db-id="pv2szp929xt9anersx5peeazvdfx9p5a52ps" timestamp="1384618882"&gt;8&lt;/key&gt;&lt;/foreign-keys&gt;&lt;ref-type name="Journal Article"&gt;17&lt;/ref-type&gt;&lt;contributors&gt;&lt;authors&gt;&lt;author&gt;Pfiffner Rauber, Brigitte&lt;/author&gt;&lt;/authors&gt;&lt;/contributors&gt;&lt;titles&gt;&lt;title&gt;Eingliederungsmassnahmen für Kinder und Jugendliche in der Invalidenversicherung&lt;/title&gt;&lt;secondary-title&gt;SZS&lt;/secondary-title&gt;&lt;/titles&gt;&lt;periodical&gt;&lt;full-title&gt;SZS&lt;/full-title&gt;&lt;/periodical&gt;&lt;pages&gt;257 ff.&lt;/pages&gt;&lt;volume&gt;2004&lt;/volume&gt;&lt;dates&gt;&lt;year&gt;2004&lt;/year&gt;&lt;/dates&gt;&lt;urls&gt;&lt;/urls&gt;&lt;/record&gt;&lt;/Cite&gt;&lt;/EndNote&gt;</w:instrText>
      </w:r>
      <w:r w:rsidRPr="00A43FDF">
        <w:rPr>
          <w:lang w:val="de-DE"/>
        </w:rPr>
        <w:fldChar w:fldCharType="separate"/>
      </w:r>
      <w:r w:rsidRPr="00A43FDF">
        <w:rPr>
          <w:smallCaps/>
          <w:lang w:val="de-DE"/>
        </w:rPr>
        <w:t>Pfiffner Rauber, Brigitte</w:t>
      </w:r>
      <w:r w:rsidRPr="00A43FDF">
        <w:rPr>
          <w:lang w:val="de-DE"/>
        </w:rPr>
        <w:t>, Eingliederungsmassnahmen für Kinder und Jugendliche in der Invalidenversicherung, in: SZS 2004, S. 257 ff.</w:t>
      </w:r>
      <w:r w:rsidRPr="00A43FDF">
        <w:rPr>
          <w:lang w:val="de-DE"/>
        </w:rPr>
        <w:fldChar w:fldCharType="end"/>
      </w:r>
    </w:p>
  </w:footnote>
  <w:footnote w:id="43">
    <w:p w14:paraId="2F7DAE6B" w14:textId="48B9AF42" w:rsidR="00457D53" w:rsidRPr="00AC18A4" w:rsidRDefault="00457D53" w:rsidP="00207A3E">
      <w:pPr>
        <w:pStyle w:val="Funotentext"/>
        <w:rPr>
          <w:lang w:val="de-DE"/>
        </w:rPr>
      </w:pPr>
      <w:r w:rsidRPr="00AC18A4">
        <w:rPr>
          <w:rStyle w:val="Funotenzeichen"/>
        </w:rPr>
        <w:footnoteRef/>
      </w:r>
      <w:r w:rsidRPr="00AC18A4">
        <w:t xml:space="preserve"> </w:t>
      </w:r>
      <w:r w:rsidRPr="00AC18A4">
        <w:tab/>
      </w:r>
      <w:r w:rsidRPr="00AC18A4">
        <w:rPr>
          <w:lang w:val="de-DE"/>
        </w:rPr>
        <w:t>Vgl. Art. 5 Abs. 1 IVV.</w:t>
      </w:r>
    </w:p>
  </w:footnote>
  <w:footnote w:id="44">
    <w:p w14:paraId="19EDD4F4" w14:textId="4735D3C6" w:rsidR="00457D53" w:rsidRPr="00AC18A4" w:rsidRDefault="00457D53">
      <w:pPr>
        <w:pStyle w:val="Funotentext"/>
        <w:rPr>
          <w:lang w:val="de-DE"/>
        </w:rPr>
      </w:pPr>
      <w:r w:rsidRPr="00AC18A4">
        <w:rPr>
          <w:rStyle w:val="Funotenzeichen"/>
        </w:rPr>
        <w:footnoteRef/>
      </w:r>
      <w:r>
        <w:t xml:space="preserve"> </w:t>
      </w:r>
      <w:r w:rsidRPr="00AC18A4">
        <w:rPr>
          <w:lang w:val="de-DE"/>
        </w:rPr>
        <w:tab/>
        <w:t>Vgl. Art. 16 Abs. 2 IVG</w:t>
      </w:r>
      <w:r>
        <w:rPr>
          <w:lang w:val="de-DE"/>
        </w:rPr>
        <w:t>.</w:t>
      </w:r>
    </w:p>
  </w:footnote>
  <w:footnote w:id="45">
    <w:p w14:paraId="36C7615C" w14:textId="033487BD" w:rsidR="00457D53" w:rsidRPr="00AC18A4" w:rsidRDefault="00457D53">
      <w:pPr>
        <w:pStyle w:val="Funotentext"/>
        <w:rPr>
          <w:lang w:val="de-DE"/>
        </w:rPr>
      </w:pPr>
      <w:r w:rsidRPr="00AC18A4">
        <w:rPr>
          <w:rStyle w:val="Funotenzeichen"/>
        </w:rPr>
        <w:footnoteRef/>
      </w:r>
      <w:r>
        <w:t xml:space="preserve"> </w:t>
      </w:r>
      <w:r w:rsidRPr="00AC18A4">
        <w:rPr>
          <w:lang w:val="de-DE"/>
        </w:rPr>
        <w:tab/>
        <w:t>Vgl. Art. 5 Abs. 2 IVV.</w:t>
      </w:r>
    </w:p>
  </w:footnote>
  <w:footnote w:id="46">
    <w:p w14:paraId="1E65DC56" w14:textId="14F71B32" w:rsidR="00457D53" w:rsidRPr="00AC18A4" w:rsidRDefault="00457D53">
      <w:pPr>
        <w:pStyle w:val="Funotentext"/>
        <w:rPr>
          <w:lang w:val="de-DE"/>
        </w:rPr>
      </w:pPr>
      <w:r w:rsidRPr="00AC18A4">
        <w:rPr>
          <w:rStyle w:val="Funotenzeichen"/>
        </w:rPr>
        <w:footnoteRef/>
      </w:r>
      <w:r>
        <w:t xml:space="preserve"> </w:t>
      </w:r>
      <w:r w:rsidRPr="00AC18A4">
        <w:rPr>
          <w:lang w:val="de-DE"/>
        </w:rPr>
        <w:tab/>
        <w:t>Vgl. Art. 5 Abs. 3 IVV.</w:t>
      </w:r>
    </w:p>
  </w:footnote>
  <w:footnote w:id="47">
    <w:p w14:paraId="56F13742" w14:textId="7955B506" w:rsidR="00457D53" w:rsidRPr="00AC18A4" w:rsidRDefault="00457D53">
      <w:pPr>
        <w:pStyle w:val="Funotentext"/>
        <w:rPr>
          <w:lang w:val="de-DE"/>
        </w:rPr>
      </w:pPr>
      <w:r w:rsidRPr="00AC18A4">
        <w:rPr>
          <w:rStyle w:val="Funotenzeichen"/>
        </w:rPr>
        <w:footnoteRef/>
      </w:r>
      <w:r>
        <w:t xml:space="preserve"> </w:t>
      </w:r>
      <w:r w:rsidRPr="00AC18A4">
        <w:rPr>
          <w:lang w:val="de-DE"/>
        </w:rPr>
        <w:tab/>
        <w:t>Vgl. Art. 22 Abs. 1 IVG.</w:t>
      </w:r>
    </w:p>
  </w:footnote>
  <w:footnote w:id="48">
    <w:p w14:paraId="1B041C91" w14:textId="15C22625" w:rsidR="00457D53" w:rsidRPr="00AC18A4" w:rsidRDefault="00457D53">
      <w:pPr>
        <w:pStyle w:val="Funotentext"/>
        <w:rPr>
          <w:lang w:val="de-DE"/>
        </w:rPr>
      </w:pPr>
      <w:r w:rsidRPr="00AC18A4">
        <w:rPr>
          <w:rStyle w:val="Funotenzeichen"/>
        </w:rPr>
        <w:footnoteRef/>
      </w:r>
      <w:r>
        <w:t xml:space="preserve"> </w:t>
      </w:r>
      <w:r w:rsidRPr="00AC18A4">
        <w:rPr>
          <w:lang w:val="de-DE"/>
        </w:rPr>
        <w:tab/>
        <w:t>Vgl. Art. 22 Abs. 1</w:t>
      </w:r>
      <w:r w:rsidRPr="00AC18A4">
        <w:rPr>
          <w:vertAlign w:val="superscript"/>
          <w:lang w:val="de-DE"/>
        </w:rPr>
        <w:t>bis</w:t>
      </w:r>
      <w:r w:rsidRPr="00AC18A4">
        <w:rPr>
          <w:lang w:val="de-DE"/>
        </w:rPr>
        <w:t xml:space="preserve"> IVG.</w:t>
      </w:r>
    </w:p>
  </w:footnote>
  <w:footnote w:id="49">
    <w:p w14:paraId="518C6554" w14:textId="6B968423" w:rsidR="00457D53" w:rsidRPr="00AC18A4" w:rsidRDefault="00457D53">
      <w:pPr>
        <w:pStyle w:val="Funotentext"/>
        <w:rPr>
          <w:lang w:val="de-DE"/>
        </w:rPr>
      </w:pPr>
      <w:r w:rsidRPr="00AC18A4">
        <w:rPr>
          <w:rStyle w:val="Funotenzeichen"/>
        </w:rPr>
        <w:footnoteRef/>
      </w:r>
      <w:r>
        <w:t xml:space="preserve"> </w:t>
      </w:r>
      <w:r w:rsidRPr="00AC18A4">
        <w:rPr>
          <w:lang w:val="de-DE"/>
        </w:rPr>
        <w:tab/>
        <w:t>Vgl. Art. 22 Abs. 4 IVG.</w:t>
      </w:r>
    </w:p>
  </w:footnote>
  <w:footnote w:id="50">
    <w:p w14:paraId="24678278" w14:textId="3642459C" w:rsidR="00457D53" w:rsidRPr="00AC18A4" w:rsidRDefault="00457D53">
      <w:pPr>
        <w:pStyle w:val="Funotentext"/>
        <w:rPr>
          <w:lang w:val="de-DE"/>
        </w:rPr>
      </w:pPr>
      <w:r w:rsidRPr="00AC18A4">
        <w:rPr>
          <w:rStyle w:val="Funotenzeichen"/>
        </w:rPr>
        <w:footnoteRef/>
      </w:r>
      <w:r>
        <w:t xml:space="preserve"> </w:t>
      </w:r>
      <w:r w:rsidRPr="00AC18A4">
        <w:rPr>
          <w:lang w:val="de-DE"/>
        </w:rPr>
        <w:tab/>
        <w:t>Vgl. Art. 22 Abs. 1 IVV.</w:t>
      </w:r>
    </w:p>
  </w:footnote>
  <w:footnote w:id="51">
    <w:p w14:paraId="381BE5AD" w14:textId="59D052E8" w:rsidR="00457D53" w:rsidRPr="00AC18A4" w:rsidRDefault="00457D53">
      <w:pPr>
        <w:pStyle w:val="Funotentext"/>
        <w:rPr>
          <w:lang w:val="de-DE"/>
        </w:rPr>
      </w:pPr>
      <w:r w:rsidRPr="00AC18A4">
        <w:rPr>
          <w:rStyle w:val="Funotenzeichen"/>
        </w:rPr>
        <w:footnoteRef/>
      </w:r>
      <w:r>
        <w:t xml:space="preserve"> </w:t>
      </w:r>
      <w:r w:rsidRPr="00AC18A4">
        <w:rPr>
          <w:lang w:val="de-DE"/>
        </w:rPr>
        <w:tab/>
        <w:t>Vgl. Art. 22 Abs. 2 IVV.</w:t>
      </w:r>
    </w:p>
  </w:footnote>
  <w:footnote w:id="52">
    <w:p w14:paraId="27128E91" w14:textId="60609719" w:rsidR="00457D53" w:rsidRPr="00AC18A4" w:rsidRDefault="00457D53" w:rsidP="00036587">
      <w:pPr>
        <w:pStyle w:val="Funotentext"/>
      </w:pPr>
      <w:r w:rsidRPr="00AC18A4">
        <w:rPr>
          <w:rStyle w:val="Funotenzeichen"/>
        </w:rPr>
        <w:footnoteRef/>
      </w:r>
      <w:r w:rsidRPr="00AC18A4">
        <w:t xml:space="preserve"> </w:t>
      </w:r>
      <w:r w:rsidRPr="00AC18A4">
        <w:tab/>
        <w:t>Vgl. Art. 21 ff. IVG</w:t>
      </w:r>
      <w:r>
        <w:t xml:space="preserve"> und</w:t>
      </w:r>
      <w:r w:rsidRPr="00AC18A4">
        <w:t xml:space="preserve"> Art. 14 ff. IVV </w:t>
      </w:r>
      <w:r>
        <w:t>sowie</w:t>
      </w:r>
      <w:r w:rsidRPr="00AC18A4">
        <w:t xml:space="preserve"> HVI.</w:t>
      </w:r>
    </w:p>
  </w:footnote>
  <w:footnote w:id="53">
    <w:p w14:paraId="0DF41490" w14:textId="77777777" w:rsidR="00457D53" w:rsidRPr="00AC18A4" w:rsidRDefault="00457D53" w:rsidP="00036587">
      <w:pPr>
        <w:pStyle w:val="Funotentext"/>
      </w:pPr>
      <w:r w:rsidRPr="00AC18A4">
        <w:rPr>
          <w:rStyle w:val="Funotenzeichen"/>
        </w:rPr>
        <w:footnoteRef/>
      </w:r>
      <w:r w:rsidRPr="00AC18A4">
        <w:t xml:space="preserve"> </w:t>
      </w:r>
      <w:r w:rsidRPr="00AC18A4">
        <w:tab/>
        <w:t>Vgl. Art. 8 Abs. 3 lit. d und Art. 8a Abs. 2 lit. c IVG.</w:t>
      </w:r>
    </w:p>
  </w:footnote>
  <w:footnote w:id="54">
    <w:p w14:paraId="67C5A184" w14:textId="77777777" w:rsidR="00457D53" w:rsidRPr="00AC18A4" w:rsidRDefault="00457D53" w:rsidP="00036587">
      <w:pPr>
        <w:pStyle w:val="Funotentext"/>
      </w:pPr>
      <w:r w:rsidRPr="00AC18A4">
        <w:rPr>
          <w:rStyle w:val="Funotenzeichen"/>
        </w:rPr>
        <w:footnoteRef/>
      </w:r>
      <w:r w:rsidRPr="00AC18A4">
        <w:t xml:space="preserve"> </w:t>
      </w:r>
      <w:r w:rsidRPr="00AC18A4">
        <w:tab/>
        <w:t>Vgl. BGE 131 V 9 E. 3.3 und 115 V 191 E. 2c.</w:t>
      </w:r>
    </w:p>
  </w:footnote>
  <w:footnote w:id="55">
    <w:p w14:paraId="04E9A699" w14:textId="77777777" w:rsidR="00457D53" w:rsidRPr="00AC18A4" w:rsidRDefault="00457D53" w:rsidP="00615536">
      <w:pPr>
        <w:pStyle w:val="Funotentext"/>
      </w:pPr>
      <w:r w:rsidRPr="00AC18A4">
        <w:rPr>
          <w:rStyle w:val="Funotenzeichen"/>
        </w:rPr>
        <w:footnoteRef/>
      </w:r>
      <w:r w:rsidRPr="00AC18A4">
        <w:t xml:space="preserve"> </w:t>
      </w:r>
      <w:r w:rsidRPr="00AC18A4">
        <w:tab/>
        <w:t xml:space="preserve">Vgl. </w:t>
      </w:r>
      <w:hyperlink r:id="rId2" w:anchor="page_130" w:history="1">
        <w:r w:rsidRPr="00AC18A4">
          <w:t>BGE 103 V 130</w:t>
        </w:r>
      </w:hyperlink>
      <w:r w:rsidRPr="00AC18A4">
        <w:t>, 108 V 6 und ZAK 1965, S.153.</w:t>
      </w:r>
    </w:p>
  </w:footnote>
  <w:footnote w:id="56">
    <w:p w14:paraId="382EA7F8" w14:textId="6533E70F" w:rsidR="00457D53" w:rsidRPr="00AC18A4" w:rsidRDefault="00457D53">
      <w:pPr>
        <w:pStyle w:val="Funotentext"/>
        <w:rPr>
          <w:lang w:val="de-DE"/>
        </w:rPr>
      </w:pPr>
      <w:r w:rsidRPr="00AC18A4">
        <w:rPr>
          <w:rStyle w:val="Funotenzeichen"/>
        </w:rPr>
        <w:footnoteRef/>
      </w:r>
      <w:r w:rsidRPr="00AC18A4">
        <w:t xml:space="preserve"> </w:t>
      </w:r>
      <w:r w:rsidRPr="00AC18A4">
        <w:tab/>
        <w:t>Vgl. BGE 131 V 9 E. 3.3.</w:t>
      </w:r>
    </w:p>
  </w:footnote>
  <w:footnote w:id="57">
    <w:p w14:paraId="01527BFA" w14:textId="03560074" w:rsidR="00457D53" w:rsidRPr="00AC18A4" w:rsidRDefault="00457D53">
      <w:pPr>
        <w:pStyle w:val="Funotentext"/>
        <w:rPr>
          <w:lang w:val="de-DE"/>
        </w:rPr>
      </w:pPr>
      <w:r w:rsidRPr="00AC18A4">
        <w:rPr>
          <w:rStyle w:val="Funotenzeichen"/>
        </w:rPr>
        <w:footnoteRef/>
      </w:r>
      <w:r w:rsidRPr="00AC18A4">
        <w:t xml:space="preserve"> </w:t>
      </w:r>
      <w:r w:rsidRPr="00AC18A4">
        <w:tab/>
        <w:t>Ibid. E. 3.4.3 und 3.5.</w:t>
      </w:r>
    </w:p>
  </w:footnote>
  <w:footnote w:id="58">
    <w:p w14:paraId="126D88DA" w14:textId="489A3013"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Vgl. BGE 126 V 70 ff.</w:t>
      </w:r>
    </w:p>
  </w:footnote>
  <w:footnote w:id="59">
    <w:p w14:paraId="3CDBB105" w14:textId="155C0E20"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BGE 135 I 161 E. 4.1.</w:t>
      </w:r>
    </w:p>
  </w:footnote>
  <w:footnote w:id="60">
    <w:p w14:paraId="05347739" w14:textId="12BBAE39"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 xml:space="preserve">Vgl. Urteile </w:t>
      </w:r>
      <w:r>
        <w:rPr>
          <w:lang w:val="de-DE"/>
        </w:rPr>
        <w:t xml:space="preserve">des </w:t>
      </w:r>
      <w:r w:rsidRPr="00AC18A4">
        <w:rPr>
          <w:lang w:val="de-DE"/>
        </w:rPr>
        <w:t>BGer vom 05.03.2013 (8C_813/2012) E. 7.1 und vom 31.07.2008 (9C_214/2008) E. 2.4.</w:t>
      </w:r>
    </w:p>
  </w:footnote>
  <w:footnote w:id="61">
    <w:p w14:paraId="4C14B91A" w14:textId="35F76337"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29 Abs. 1 IVG.</w:t>
      </w:r>
    </w:p>
  </w:footnote>
  <w:footnote w:id="62">
    <w:p w14:paraId="6D81E0BD" w14:textId="6EA5FAE3"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8 Abs. 1 ATSG.</w:t>
      </w:r>
    </w:p>
  </w:footnote>
  <w:footnote w:id="63">
    <w:p w14:paraId="1024F61B" w14:textId="7096C25C" w:rsidR="00457D53" w:rsidRPr="00AC18A4" w:rsidRDefault="00457D53" w:rsidP="00277B4F">
      <w:pPr>
        <w:pStyle w:val="Funotentext"/>
        <w:rPr>
          <w:lang w:val="de-DE"/>
        </w:rPr>
      </w:pPr>
      <w:r w:rsidRPr="00AC18A4">
        <w:rPr>
          <w:rStyle w:val="Funotenzeichen"/>
        </w:rPr>
        <w:footnoteRef/>
      </w:r>
      <w:r w:rsidRPr="00AC18A4">
        <w:t xml:space="preserve"> </w:t>
      </w:r>
      <w:r w:rsidRPr="00AC18A4">
        <w:tab/>
        <w:t>Vgl. Art. 8 Abs. 2 ATSG und Art. 28a Abs. 2 IVG.</w:t>
      </w:r>
    </w:p>
  </w:footnote>
  <w:footnote w:id="64">
    <w:p w14:paraId="4F504EBB" w14:textId="0E02D0E6" w:rsidR="00457D53" w:rsidRPr="00AC18A4" w:rsidRDefault="00457D53" w:rsidP="00277B4F">
      <w:pPr>
        <w:pStyle w:val="Funotentext"/>
        <w:rPr>
          <w:lang w:val="de-DE"/>
        </w:rPr>
      </w:pPr>
      <w:r w:rsidRPr="00AC18A4">
        <w:rPr>
          <w:rStyle w:val="Funotenzeichen"/>
        </w:rPr>
        <w:footnoteRef/>
      </w:r>
      <w:r w:rsidRPr="00AC18A4">
        <w:t xml:space="preserve"> </w:t>
      </w:r>
      <w:r w:rsidRPr="00AC18A4">
        <w:tab/>
        <w:t>Vgl. Art. 8 Abs. 2 ATSG.</w:t>
      </w:r>
    </w:p>
  </w:footnote>
  <w:footnote w:id="65">
    <w:p w14:paraId="1E896D7E" w14:textId="17BD172F" w:rsidR="00457D53" w:rsidRPr="00AC18A4" w:rsidRDefault="00457D53">
      <w:pPr>
        <w:pStyle w:val="Funotentext"/>
        <w:rPr>
          <w:lang w:val="de-DE"/>
        </w:rPr>
      </w:pPr>
      <w:r w:rsidRPr="00AC18A4">
        <w:rPr>
          <w:rStyle w:val="Funotenzeichen"/>
        </w:rPr>
        <w:footnoteRef/>
      </w:r>
      <w:r w:rsidRPr="00AC18A4">
        <w:t xml:space="preserve"> </w:t>
      </w:r>
      <w:r w:rsidRPr="00AC18A4">
        <w:tab/>
        <w:t>Vgl. Art. 5 Abs. 2 und Art. 28a Abs. 2 IVG.</w:t>
      </w:r>
    </w:p>
  </w:footnote>
  <w:footnote w:id="66">
    <w:p w14:paraId="5704189D" w14:textId="1440704C" w:rsidR="00457D53" w:rsidRPr="00AC18A4" w:rsidRDefault="00457D53" w:rsidP="00DE0C91">
      <w:pPr>
        <w:pStyle w:val="Funotentext"/>
      </w:pPr>
      <w:r w:rsidRPr="00AC18A4">
        <w:rPr>
          <w:rStyle w:val="Funotenzeichen"/>
        </w:rPr>
        <w:footnoteRef/>
      </w:r>
      <w:r w:rsidRPr="00AC18A4">
        <w:t xml:space="preserve"> </w:t>
      </w:r>
      <w:r w:rsidRPr="00AC18A4">
        <w:tab/>
        <w:t>Vgl. Art. 26</w:t>
      </w:r>
      <w:r w:rsidRPr="00AC18A4">
        <w:rPr>
          <w:vertAlign w:val="superscript"/>
        </w:rPr>
        <w:t>bis</w:t>
      </w:r>
      <w:r w:rsidRPr="00AC18A4">
        <w:t xml:space="preserve"> IVG.</w:t>
      </w:r>
    </w:p>
  </w:footnote>
  <w:footnote w:id="67">
    <w:p w14:paraId="3EFD4B77" w14:textId="62A3EB01" w:rsidR="00457D53" w:rsidRPr="00AC18A4" w:rsidRDefault="00457D53" w:rsidP="00277B4F">
      <w:pPr>
        <w:pStyle w:val="Funotentext"/>
      </w:pPr>
      <w:r w:rsidRPr="00AC18A4">
        <w:rPr>
          <w:rStyle w:val="Funotenzeichen"/>
        </w:rPr>
        <w:footnoteRef/>
      </w:r>
      <w:r w:rsidRPr="00AC18A4">
        <w:t xml:space="preserve"> </w:t>
      </w:r>
      <w:r w:rsidRPr="00AC18A4">
        <w:tab/>
        <w:t>Vgl. Art. 5 Abs. 1 IVG i.V.m. Art. 8 Abs. 3 ATSG.</w:t>
      </w:r>
    </w:p>
  </w:footnote>
  <w:footnote w:id="68">
    <w:p w14:paraId="4AAA03E7" w14:textId="17D8CEE9"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 xml:space="preserve">Vgl. Urteil </w:t>
      </w:r>
      <w:r>
        <w:rPr>
          <w:lang w:val="de-DE"/>
        </w:rPr>
        <w:t xml:space="preserve">des </w:t>
      </w:r>
      <w:r w:rsidRPr="00AC18A4">
        <w:rPr>
          <w:lang w:val="de-DE"/>
        </w:rPr>
        <w:t xml:space="preserve">BGer vom 30.11.2004 (I 399/04) E. 3.2. </w:t>
      </w:r>
    </w:p>
  </w:footnote>
  <w:footnote w:id="69">
    <w:p w14:paraId="0BA92E86" w14:textId="7386867A" w:rsidR="00457D53" w:rsidRPr="00AC18A4" w:rsidRDefault="00457D53">
      <w:pPr>
        <w:pStyle w:val="Funotentext"/>
        <w:rPr>
          <w:lang w:val="de-DE"/>
        </w:rPr>
      </w:pPr>
      <w:r w:rsidRPr="00AC18A4">
        <w:rPr>
          <w:rStyle w:val="Funotenzeichen"/>
        </w:rPr>
        <w:footnoteRef/>
      </w:r>
      <w:r w:rsidRPr="00AC18A4">
        <w:t xml:space="preserve"> </w:t>
      </w:r>
      <w:r w:rsidRPr="00AC18A4">
        <w:tab/>
        <w:t xml:space="preserve">Vgl. </w:t>
      </w:r>
      <w:r w:rsidRPr="00AC18A4">
        <w:rPr>
          <w:lang w:val="de-DE"/>
        </w:rPr>
        <w:t xml:space="preserve">Urteil </w:t>
      </w:r>
      <w:r>
        <w:rPr>
          <w:lang w:val="de-DE"/>
        </w:rPr>
        <w:t xml:space="preserve">des </w:t>
      </w:r>
      <w:r w:rsidRPr="00AC18A4">
        <w:rPr>
          <w:lang w:val="de-DE"/>
        </w:rPr>
        <w:t xml:space="preserve">EVG vom 09.04.2003 (B 55/02). </w:t>
      </w:r>
    </w:p>
  </w:footnote>
  <w:footnote w:id="70">
    <w:p w14:paraId="4A6DC064" w14:textId="6914C585"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 xml:space="preserve">Vgl. Urteil </w:t>
      </w:r>
      <w:r>
        <w:rPr>
          <w:lang w:val="de-DE"/>
        </w:rPr>
        <w:t xml:space="preserve">des </w:t>
      </w:r>
      <w:r w:rsidRPr="00AC18A4">
        <w:rPr>
          <w:lang w:val="de-DE"/>
        </w:rPr>
        <w:t>EVG vom 20.08.2002 (I 748/01) E</w:t>
      </w:r>
      <w:r>
        <w:rPr>
          <w:lang w:val="de-DE"/>
        </w:rPr>
        <w:t>. 3.2 und RKUV 1993,</w:t>
      </w:r>
      <w:r w:rsidRPr="00AC18A4">
        <w:rPr>
          <w:lang w:val="de-DE"/>
        </w:rPr>
        <w:t xml:space="preserve"> 100 E. 3b</w:t>
      </w:r>
      <w:r w:rsidRPr="00AC18A4">
        <w:t>.</w:t>
      </w:r>
    </w:p>
  </w:footnote>
  <w:footnote w:id="71">
    <w:p w14:paraId="3CBD5FE9" w14:textId="15A4F381"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 xml:space="preserve">Vgl. Urteil </w:t>
      </w:r>
      <w:r>
        <w:rPr>
          <w:lang w:val="de-DE"/>
        </w:rPr>
        <w:t xml:space="preserve">des </w:t>
      </w:r>
      <w:r w:rsidRPr="00AC18A4">
        <w:rPr>
          <w:lang w:val="de-DE"/>
        </w:rPr>
        <w:t>EVG vom 28.10.2002 (I 428/01) E. 4.</w:t>
      </w:r>
    </w:p>
  </w:footnote>
  <w:footnote w:id="72">
    <w:p w14:paraId="20721E26" w14:textId="457B7B13" w:rsidR="00457D53" w:rsidRPr="00AC18A4" w:rsidRDefault="00457D53" w:rsidP="000858F5">
      <w:pPr>
        <w:pStyle w:val="Funotentext"/>
      </w:pPr>
      <w:r w:rsidRPr="00AC18A4">
        <w:rPr>
          <w:rStyle w:val="Funotenzeichen"/>
        </w:rPr>
        <w:footnoteRef/>
      </w:r>
      <w:r w:rsidRPr="00AC18A4">
        <w:t xml:space="preserve"> </w:t>
      </w:r>
      <w:r w:rsidRPr="00AC18A4">
        <w:tab/>
        <w:t>Vgl. Art. 15 Abs. 1 UVG i.V.m. Art. 22 Abs. 4 UVV.</w:t>
      </w:r>
    </w:p>
  </w:footnote>
  <w:footnote w:id="73">
    <w:p w14:paraId="54FB667A" w14:textId="5BD37810" w:rsidR="00457D53" w:rsidRPr="00AC18A4" w:rsidRDefault="00457D53" w:rsidP="000858F5">
      <w:pPr>
        <w:pStyle w:val="Funotentext"/>
      </w:pPr>
      <w:r w:rsidRPr="00AC18A4">
        <w:rPr>
          <w:rStyle w:val="Funotenzeichen"/>
        </w:rPr>
        <w:footnoteRef/>
      </w:r>
      <w:r w:rsidRPr="00AC18A4">
        <w:t xml:space="preserve"> </w:t>
      </w:r>
      <w:r w:rsidRPr="00AC18A4">
        <w:tab/>
        <w:t xml:space="preserve">Der effektiv erzielte Lohn von mitarbeitenden Familienmitglieder ist nur zu berücksichtigen, falls er über dem berufs- und ortsüblichen Verdienst liegt (vgl. Urteil </w:t>
      </w:r>
      <w:r>
        <w:t xml:space="preserve">des </w:t>
      </w:r>
      <w:r w:rsidRPr="00AC18A4">
        <w:t>EVG vom 09.01.2001 i. S. F. S. = RKUV 2001, 104 E. 3a).</w:t>
      </w:r>
    </w:p>
  </w:footnote>
  <w:footnote w:id="74">
    <w:p w14:paraId="0646F6B8" w14:textId="13F59141" w:rsidR="00457D53" w:rsidRPr="00AC18A4" w:rsidRDefault="00457D53" w:rsidP="000858F5">
      <w:pPr>
        <w:pStyle w:val="Funotentext"/>
      </w:pPr>
      <w:r w:rsidRPr="00AC18A4">
        <w:rPr>
          <w:rStyle w:val="Funotenzeichen"/>
        </w:rPr>
        <w:footnoteRef/>
      </w:r>
      <w:r w:rsidRPr="00AC18A4">
        <w:t xml:space="preserve"> </w:t>
      </w:r>
      <w:r w:rsidRPr="00AC18A4">
        <w:tab/>
        <w:t xml:space="preserve">Vgl. Urteil </w:t>
      </w:r>
      <w:r>
        <w:t xml:space="preserve">des </w:t>
      </w:r>
      <w:r w:rsidRPr="00AC18A4">
        <w:t xml:space="preserve">EVG vom 06.07.2000 i. S. E. K. = RKUV 2000, 378 E. 2b (Dieser Fall betraf einen zu 70 % als Behindertenbetreuer tätigen Versicherten, der daneben in einem Heimstudium die Matura nachholte) und Urteil </w:t>
      </w:r>
      <w:r>
        <w:t xml:space="preserve">des </w:t>
      </w:r>
      <w:r w:rsidRPr="00AC18A4">
        <w:t>EVG vom 10.03.1992 i.S. M.B. = RKUV 1992, 117 E. 4d (Werkstudent).</w:t>
      </w:r>
    </w:p>
  </w:footnote>
  <w:footnote w:id="75">
    <w:p w14:paraId="6B73AD9C" w14:textId="4ED21698" w:rsidR="00457D53" w:rsidRPr="00AC18A4" w:rsidRDefault="00457D53" w:rsidP="000858F5">
      <w:pPr>
        <w:pStyle w:val="Funotentext"/>
      </w:pPr>
      <w:r w:rsidRPr="00AC18A4">
        <w:rPr>
          <w:rStyle w:val="Funotenzeichen"/>
        </w:rPr>
        <w:footnoteRef/>
      </w:r>
      <w:r w:rsidRPr="00AC18A4">
        <w:t xml:space="preserve"> </w:t>
      </w:r>
      <w:r w:rsidRPr="00AC18A4">
        <w:tab/>
        <w:t xml:space="preserve">Siehe dazu Urteil </w:t>
      </w:r>
      <w:r>
        <w:t xml:space="preserve">des </w:t>
      </w:r>
      <w:r w:rsidRPr="00AC18A4">
        <w:t>EVG vom 24.01.2002 (U 30/01) = RKUV 2002, 145.</w:t>
      </w:r>
    </w:p>
  </w:footnote>
  <w:footnote w:id="76">
    <w:p w14:paraId="4FD81F6D" w14:textId="536EE11A" w:rsidR="00457D53" w:rsidRPr="00AC18A4" w:rsidRDefault="00457D53" w:rsidP="000858F5">
      <w:pPr>
        <w:pStyle w:val="Funotentext"/>
      </w:pPr>
      <w:r w:rsidRPr="00AC18A4">
        <w:rPr>
          <w:rStyle w:val="Funotenzeichen"/>
        </w:rPr>
        <w:footnoteRef/>
      </w:r>
      <w:r w:rsidRPr="00AC18A4">
        <w:t xml:space="preserve"> </w:t>
      </w:r>
      <w:r w:rsidRPr="00AC18A4">
        <w:tab/>
        <w:t>Hinsichtlich des versicherten Verdienstes eines Schnupperlehrlings weist die UVV eine echte Lücke auf. Zu deren Schliessung ist auf die nach Alter abgestuften Prozentsätze der Durchschnittslöhne abzustellen, die gemäss Art. 26 Abs. 1 IVV für die Festsetzung des hypothetischen Einkommens ohne Invalidität von Vers</w:t>
      </w:r>
      <w:r w:rsidRPr="00AC18A4">
        <w:t>i</w:t>
      </w:r>
      <w:r w:rsidRPr="00AC18A4">
        <w:t xml:space="preserve">cherten, die invaliditätsbedingt keine zureichenden beruflichen Kenntnisse erwerben konnten, massgebend sind (vgl. BGE 124 V 301 </w:t>
      </w:r>
      <w:r w:rsidRPr="00AC18A4">
        <w:rPr>
          <w:lang w:val="de-DE"/>
        </w:rPr>
        <w:t>= RKUV 1998, 590 E. 4 und 5)</w:t>
      </w:r>
      <w:r w:rsidRPr="00AC18A4">
        <w:t>.</w:t>
      </w:r>
    </w:p>
  </w:footnote>
  <w:footnote w:id="77">
    <w:p w14:paraId="313A65DA" w14:textId="2BACCADE" w:rsidR="00457D53" w:rsidRPr="00AC18A4" w:rsidRDefault="00457D53" w:rsidP="000858F5">
      <w:pPr>
        <w:pStyle w:val="Funotentext"/>
      </w:pPr>
      <w:r w:rsidRPr="00AC18A4">
        <w:rPr>
          <w:rStyle w:val="Funotenzeichen"/>
        </w:rPr>
        <w:footnoteRef/>
      </w:r>
      <w:r w:rsidRPr="00AC18A4">
        <w:t xml:space="preserve"> </w:t>
      </w:r>
      <w:r w:rsidRPr="00AC18A4">
        <w:tab/>
        <w:t xml:space="preserve">Urteil </w:t>
      </w:r>
      <w:r>
        <w:t xml:space="preserve">des </w:t>
      </w:r>
      <w:r w:rsidRPr="00AC18A4">
        <w:t>EVG vom 24.01.2002 (U 30/01) = RKUV 2002, 145 E. 3c.</w:t>
      </w:r>
    </w:p>
  </w:footnote>
  <w:footnote w:id="78">
    <w:p w14:paraId="28621A16" w14:textId="3A7111CE" w:rsidR="00457D53" w:rsidRPr="00AC18A4" w:rsidRDefault="00457D53" w:rsidP="000858F5">
      <w:pPr>
        <w:pStyle w:val="Funotentext"/>
      </w:pPr>
      <w:r w:rsidRPr="00AC18A4">
        <w:rPr>
          <w:rStyle w:val="Funotenzeichen"/>
        </w:rPr>
        <w:footnoteRef/>
      </w:r>
      <w:r w:rsidRPr="00AC18A4">
        <w:t xml:space="preserve"> </w:t>
      </w:r>
      <w:r w:rsidRPr="00AC18A4">
        <w:tab/>
        <w:t xml:space="preserve">Ibid. E. 3c. </w:t>
      </w:r>
    </w:p>
  </w:footnote>
  <w:footnote w:id="79">
    <w:p w14:paraId="7E25CC9A" w14:textId="0EF17C26" w:rsidR="00457D53" w:rsidRPr="00AC18A4" w:rsidRDefault="00457D53">
      <w:pPr>
        <w:pStyle w:val="Funotentext"/>
        <w:rPr>
          <w:b/>
          <w:lang w:val="de-DE"/>
        </w:rPr>
      </w:pPr>
      <w:r w:rsidRPr="00AC18A4">
        <w:rPr>
          <w:rStyle w:val="Funotenzeichen"/>
        </w:rPr>
        <w:footnoteRef/>
      </w:r>
      <w:r>
        <w:t xml:space="preserve"> </w:t>
      </w:r>
      <w:r w:rsidRPr="00AC18A4">
        <w:rPr>
          <w:lang w:val="de-DE"/>
        </w:rPr>
        <w:tab/>
        <w:t>Vgl. Art. 26 Abs. 1 IVV.</w:t>
      </w:r>
    </w:p>
  </w:footnote>
  <w:footnote w:id="80">
    <w:p w14:paraId="5ECBFDFC" w14:textId="5D35B24B"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 xml:space="preserve">Vgl. BGE 126 V 366 E. 1b und Urteil </w:t>
      </w:r>
      <w:r>
        <w:rPr>
          <w:lang w:val="de-DE"/>
        </w:rPr>
        <w:t xml:space="preserve">des </w:t>
      </w:r>
      <w:r w:rsidRPr="00AC18A4">
        <w:rPr>
          <w:lang w:val="de-DE"/>
        </w:rPr>
        <w:t>SozVersGer ZH vom 25.01.2012 (IV.2010.00593) 5.2.</w:t>
      </w:r>
    </w:p>
  </w:footnote>
  <w:footnote w:id="81">
    <w:p w14:paraId="54CA16CC" w14:textId="26071230"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 xml:space="preserve">Vgl. Urteil </w:t>
      </w:r>
      <w:r>
        <w:rPr>
          <w:lang w:val="de-DE"/>
        </w:rPr>
        <w:t xml:space="preserve">des </w:t>
      </w:r>
      <w:r w:rsidRPr="00AC18A4">
        <w:rPr>
          <w:lang w:val="de-DE"/>
        </w:rPr>
        <w:t>BGer vom 17.12.2002 (I 229/02) E. 3.3.</w:t>
      </w:r>
    </w:p>
  </w:footnote>
  <w:footnote w:id="82">
    <w:p w14:paraId="155770FD" w14:textId="69C7D9C5"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r>
      <w:bookmarkStart w:id="39" w:name="OLE_LINK1"/>
      <w:bookmarkStart w:id="40" w:name="OLE_LINK2"/>
      <w:r w:rsidRPr="00AC18A4">
        <w:rPr>
          <w:lang w:val="de-DE"/>
        </w:rPr>
        <w:t xml:space="preserve">Vgl. Urteil </w:t>
      </w:r>
      <w:r>
        <w:rPr>
          <w:lang w:val="de-DE"/>
        </w:rPr>
        <w:t xml:space="preserve">des </w:t>
      </w:r>
      <w:r w:rsidRPr="00AC18A4">
        <w:rPr>
          <w:lang w:val="de-DE"/>
        </w:rPr>
        <w:t>SozVersGer ZH vom</w:t>
      </w:r>
      <w:bookmarkEnd w:id="39"/>
      <w:bookmarkEnd w:id="40"/>
      <w:r w:rsidRPr="00AC18A4">
        <w:rPr>
          <w:lang w:val="de-DE"/>
        </w:rPr>
        <w:t xml:space="preserve"> 27.04.2012 (IV.2010.00901) E. 3.3.</w:t>
      </w:r>
    </w:p>
  </w:footnote>
  <w:footnote w:id="83">
    <w:p w14:paraId="2DB82B28" w14:textId="32FA408C"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 xml:space="preserve">Vgl. Urteil </w:t>
      </w:r>
      <w:r>
        <w:rPr>
          <w:lang w:val="de-DE"/>
        </w:rPr>
        <w:t xml:space="preserve">des </w:t>
      </w:r>
      <w:r w:rsidRPr="00AC18A4">
        <w:rPr>
          <w:lang w:val="de-DE"/>
        </w:rPr>
        <w:t>SozVersGer ZH vom 24.07.2012 (IV.2011.00079) E. 3.3.</w:t>
      </w:r>
    </w:p>
  </w:footnote>
  <w:footnote w:id="84">
    <w:p w14:paraId="64E51FF2" w14:textId="458AF681" w:rsidR="00457D53" w:rsidRPr="00AC18A4" w:rsidRDefault="00457D53">
      <w:pPr>
        <w:pStyle w:val="Funotentext"/>
        <w:rPr>
          <w:lang w:val="de-DE"/>
        </w:rPr>
      </w:pPr>
      <w:r w:rsidRPr="00AC18A4">
        <w:rPr>
          <w:rStyle w:val="Funotenzeichen"/>
        </w:rPr>
        <w:footnoteRef/>
      </w:r>
      <w:r w:rsidRPr="00AC18A4">
        <w:t xml:space="preserve"> </w:t>
      </w:r>
      <w:r w:rsidRPr="00AC18A4">
        <w:tab/>
        <w:t xml:space="preserve">Vgl. </w:t>
      </w:r>
      <w:r w:rsidRPr="00AC18A4">
        <w:rPr>
          <w:lang w:val="de-DE"/>
        </w:rPr>
        <w:t>Urteil</w:t>
      </w:r>
      <w:r w:rsidRPr="00AC18A4">
        <w:t xml:space="preserve">e </w:t>
      </w:r>
      <w:r>
        <w:t xml:space="preserve">des </w:t>
      </w:r>
      <w:r w:rsidRPr="00AC18A4">
        <w:rPr>
          <w:lang w:val="de-DE"/>
        </w:rPr>
        <w:t>B</w:t>
      </w:r>
      <w:r w:rsidRPr="00AC18A4">
        <w:t>Ger</w:t>
      </w:r>
      <w:r w:rsidRPr="00AC18A4">
        <w:rPr>
          <w:lang w:val="de-DE"/>
        </w:rPr>
        <w:t xml:space="preserve"> </w:t>
      </w:r>
      <w:r w:rsidRPr="00AC18A4">
        <w:t>vom 09.08.2012 (</w:t>
      </w:r>
      <w:r w:rsidRPr="00AC18A4">
        <w:rPr>
          <w:lang w:val="de-DE"/>
        </w:rPr>
        <w:t>9C_555/2011</w:t>
      </w:r>
      <w:r w:rsidRPr="00AC18A4">
        <w:t>) E. 3.1.2 und</w:t>
      </w:r>
      <w:r>
        <w:t xml:space="preserve"> </w:t>
      </w:r>
      <w:r w:rsidRPr="00AC18A4">
        <w:t xml:space="preserve">EVG </w:t>
      </w:r>
      <w:r w:rsidRPr="00AC18A4">
        <w:rPr>
          <w:lang w:val="de-DE"/>
        </w:rPr>
        <w:t>vom 10.</w:t>
      </w:r>
      <w:r w:rsidRPr="00AC18A4">
        <w:t>02.</w:t>
      </w:r>
      <w:r w:rsidRPr="00AC18A4">
        <w:rPr>
          <w:lang w:val="de-DE"/>
        </w:rPr>
        <w:t>2003</w:t>
      </w:r>
      <w:r w:rsidRPr="00AC18A4">
        <w:t xml:space="preserve"> (</w:t>
      </w:r>
      <w:r w:rsidRPr="00AC18A4">
        <w:rPr>
          <w:lang w:val="de-DE"/>
        </w:rPr>
        <w:t>I 472/02</w:t>
      </w:r>
      <w:r w:rsidRPr="00AC18A4">
        <w:t>)</w:t>
      </w:r>
      <w:r w:rsidRPr="00AC18A4">
        <w:rPr>
          <w:lang w:val="de-DE"/>
        </w:rPr>
        <w:t xml:space="preserve"> E. 1.2.</w:t>
      </w:r>
    </w:p>
  </w:footnote>
  <w:footnote w:id="85">
    <w:p w14:paraId="18D111FC" w14:textId="7F1F7CD0"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 xml:space="preserve">Vgl. Urteil </w:t>
      </w:r>
      <w:r>
        <w:rPr>
          <w:lang w:val="de-DE"/>
        </w:rPr>
        <w:t xml:space="preserve">des </w:t>
      </w:r>
      <w:r w:rsidRPr="00AC18A4">
        <w:rPr>
          <w:lang w:val="de-DE"/>
        </w:rPr>
        <w:t xml:space="preserve">EVG vom 10.02.2003 (I 472/02) E. 2. </w:t>
      </w:r>
    </w:p>
  </w:footnote>
  <w:footnote w:id="86">
    <w:p w14:paraId="50801A92" w14:textId="0E0E6B8A" w:rsidR="00457D53" w:rsidRPr="00AC18A4" w:rsidRDefault="00457D53">
      <w:pPr>
        <w:pStyle w:val="Funotentext"/>
        <w:rPr>
          <w:lang w:val="de-DE"/>
        </w:rPr>
      </w:pPr>
      <w:r w:rsidRPr="00AC18A4">
        <w:rPr>
          <w:rStyle w:val="Funotenzeichen"/>
        </w:rPr>
        <w:footnoteRef/>
      </w:r>
      <w:r>
        <w:rPr>
          <w:b/>
        </w:rPr>
        <w:t xml:space="preserve"> </w:t>
      </w:r>
      <w:r w:rsidRPr="00AC18A4">
        <w:rPr>
          <w:b/>
          <w:lang w:val="de-DE"/>
        </w:rPr>
        <w:tab/>
      </w:r>
      <w:r w:rsidRPr="00AC18A4">
        <w:rPr>
          <w:lang w:val="de-DE"/>
        </w:rPr>
        <w:t>Vgl. Art. 26 Abs. 2 IVV.</w:t>
      </w:r>
    </w:p>
  </w:footnote>
  <w:footnote w:id="87">
    <w:p w14:paraId="61B443DF" w14:textId="6FCFFD43" w:rsidR="00457D53" w:rsidRPr="00AC18A4" w:rsidRDefault="00457D53">
      <w:pPr>
        <w:pStyle w:val="Funotentext"/>
        <w:rPr>
          <w:lang w:val="de-DE"/>
        </w:rPr>
      </w:pPr>
      <w:r w:rsidRPr="00AC18A4">
        <w:rPr>
          <w:rStyle w:val="Funotenzeichen"/>
        </w:rPr>
        <w:footnoteRef/>
      </w:r>
      <w:r>
        <w:t xml:space="preserve"> </w:t>
      </w:r>
      <w:r w:rsidRPr="00AC18A4">
        <w:rPr>
          <w:lang w:val="de-DE"/>
        </w:rPr>
        <w:tab/>
        <w:t>Vgl. Art. 37 Abs. 2 IVG.</w:t>
      </w:r>
    </w:p>
  </w:footnote>
  <w:footnote w:id="88">
    <w:p w14:paraId="4FC75C37" w14:textId="1A147E85"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Vgl. BGE 137 V 417</w:t>
      </w:r>
      <w:r w:rsidRPr="00AC18A4">
        <w:t xml:space="preserve"> </w:t>
      </w:r>
      <w:r w:rsidRPr="00AC18A4">
        <w:rPr>
          <w:lang w:val="de-DE"/>
        </w:rPr>
        <w:t>E. 2.3</w:t>
      </w:r>
      <w:r w:rsidRPr="00AC18A4">
        <w:t>.</w:t>
      </w:r>
    </w:p>
  </w:footnote>
  <w:footnote w:id="89">
    <w:p w14:paraId="0E32AADD" w14:textId="067A3A20" w:rsidR="00457D53" w:rsidRPr="00AC18A4" w:rsidRDefault="00457D53">
      <w:pPr>
        <w:pStyle w:val="Funotentext"/>
        <w:rPr>
          <w:lang w:val="de-DE"/>
        </w:rPr>
      </w:pPr>
      <w:r w:rsidRPr="00AC18A4">
        <w:rPr>
          <w:rStyle w:val="Funotenzeichen"/>
        </w:rPr>
        <w:footnoteRef/>
      </w:r>
      <w:r w:rsidRPr="00AC18A4">
        <w:t xml:space="preserve"> </w:t>
      </w:r>
      <w:r w:rsidRPr="00AC18A4">
        <w:tab/>
        <w:t>Vgl. Art. 24 Abs. 3 UVV.</w:t>
      </w:r>
    </w:p>
  </w:footnote>
  <w:footnote w:id="90">
    <w:p w14:paraId="707650DB" w14:textId="2E71907A" w:rsidR="00457D53" w:rsidRPr="00AC18A4" w:rsidRDefault="00457D53" w:rsidP="00AB50D6">
      <w:pPr>
        <w:pStyle w:val="Funotentext"/>
        <w:rPr>
          <w:lang w:val="de-DE"/>
        </w:rPr>
      </w:pPr>
      <w:r w:rsidRPr="00AC18A4">
        <w:rPr>
          <w:rStyle w:val="Funotenzeichen"/>
        </w:rPr>
        <w:footnoteRef/>
      </w:r>
      <w:r w:rsidRPr="00AC18A4">
        <w:t xml:space="preserve"> </w:t>
      </w:r>
      <w:r w:rsidRPr="00AC18A4">
        <w:rPr>
          <w:lang w:val="de-DE"/>
        </w:rPr>
        <w:tab/>
        <w:t xml:space="preserve">Vgl. </w:t>
      </w:r>
      <w:r w:rsidRPr="00AC18A4">
        <w:t xml:space="preserve">Urteile </w:t>
      </w:r>
      <w:r>
        <w:t xml:space="preserve">des </w:t>
      </w:r>
      <w:r w:rsidRPr="00AC18A4">
        <w:t>EVG vom 24.01</w:t>
      </w:r>
      <w:r>
        <w:t xml:space="preserve">.2002 (U 30/01) = RKUV 2002, </w:t>
      </w:r>
      <w:r w:rsidRPr="00AC18A4">
        <w:t>145 E. 3b und vom 10.03</w:t>
      </w:r>
      <w:r>
        <w:t xml:space="preserve">.1992 i.S. M.B. = RKUV 1992, </w:t>
      </w:r>
      <w:r w:rsidRPr="00AC18A4">
        <w:t>117 E. 5b.</w:t>
      </w:r>
    </w:p>
  </w:footnote>
  <w:footnote w:id="91">
    <w:p w14:paraId="4C333501" w14:textId="5B80219F"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42 Abs. 1 IVG.</w:t>
      </w:r>
    </w:p>
  </w:footnote>
  <w:footnote w:id="92">
    <w:p w14:paraId="64CB9DEE" w14:textId="5D96A761"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42</w:t>
      </w:r>
      <w:r w:rsidRPr="00AC18A4">
        <w:rPr>
          <w:vertAlign w:val="superscript"/>
          <w:lang w:val="de-DE"/>
        </w:rPr>
        <w:t>bis</w:t>
      </w:r>
      <w:r w:rsidRPr="00AC18A4">
        <w:rPr>
          <w:lang w:val="de-DE"/>
        </w:rPr>
        <w:t xml:space="preserve"> Abs. 1 IVG.</w:t>
      </w:r>
    </w:p>
  </w:footnote>
  <w:footnote w:id="93">
    <w:p w14:paraId="5D40027C" w14:textId="2683680A"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42</w:t>
      </w:r>
      <w:r w:rsidRPr="00AC18A4">
        <w:rPr>
          <w:vertAlign w:val="superscript"/>
          <w:lang w:val="de-DE"/>
        </w:rPr>
        <w:t>bis</w:t>
      </w:r>
      <w:r w:rsidRPr="00AC18A4">
        <w:rPr>
          <w:lang w:val="de-DE"/>
        </w:rPr>
        <w:t xml:space="preserve"> Abs. 2 IVG.</w:t>
      </w:r>
    </w:p>
  </w:footnote>
  <w:footnote w:id="94">
    <w:p w14:paraId="04208CE2" w14:textId="77777777" w:rsidR="00457D53" w:rsidRPr="00AC18A4" w:rsidRDefault="00457D53" w:rsidP="002C367C">
      <w:pPr>
        <w:pStyle w:val="Funotentext"/>
      </w:pPr>
      <w:r w:rsidRPr="00AC18A4">
        <w:rPr>
          <w:rStyle w:val="Funotenzeichen"/>
        </w:rPr>
        <w:footnoteRef/>
      </w:r>
      <w:r w:rsidRPr="00AC18A4">
        <w:t xml:space="preserve"> </w:t>
      </w:r>
      <w:r w:rsidRPr="00AC18A4">
        <w:tab/>
        <w:t>Vgl. Art. 42</w:t>
      </w:r>
      <w:r w:rsidRPr="00AC18A4">
        <w:rPr>
          <w:vertAlign w:val="superscript"/>
        </w:rPr>
        <w:t>bis</w:t>
      </w:r>
      <w:r w:rsidRPr="00AC18A4">
        <w:t xml:space="preserve"> Abs. 2 i.V.m. Art. 9 Abs. 3 IVG.</w:t>
      </w:r>
    </w:p>
  </w:footnote>
  <w:footnote w:id="95">
    <w:p w14:paraId="04B2E238" w14:textId="38980BB7"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42</w:t>
      </w:r>
      <w:r w:rsidRPr="00AC18A4">
        <w:rPr>
          <w:vertAlign w:val="superscript"/>
          <w:lang w:val="de-DE"/>
        </w:rPr>
        <w:t>bis</w:t>
      </w:r>
      <w:r w:rsidRPr="00AC18A4">
        <w:rPr>
          <w:lang w:val="de-DE"/>
        </w:rPr>
        <w:t xml:space="preserve"> Abs. 3 bis 5 IVG.</w:t>
      </w:r>
    </w:p>
  </w:footnote>
  <w:footnote w:id="96">
    <w:p w14:paraId="536FF7AC" w14:textId="712BCE58" w:rsidR="00457D53" w:rsidRPr="00AC18A4" w:rsidRDefault="00457D53" w:rsidP="00446E90">
      <w:pPr>
        <w:pStyle w:val="Funotentext"/>
      </w:pPr>
      <w:r w:rsidRPr="00AC18A4">
        <w:rPr>
          <w:rStyle w:val="Funotenzeichen"/>
        </w:rPr>
        <w:footnoteRef/>
      </w:r>
      <w:r w:rsidRPr="00AC18A4">
        <w:tab/>
        <w:t>Vgl. Art. 42</w:t>
      </w:r>
      <w:r w:rsidRPr="00AC18A4">
        <w:rPr>
          <w:vertAlign w:val="superscript"/>
        </w:rPr>
        <w:t>ter</w:t>
      </w:r>
      <w:r w:rsidRPr="00AC18A4">
        <w:t xml:space="preserve"> Abs. 3 IVG und Art. 39 IVV.</w:t>
      </w:r>
    </w:p>
  </w:footnote>
  <w:footnote w:id="97">
    <w:p w14:paraId="097D5662" w14:textId="610D6E63" w:rsidR="00457D53" w:rsidRPr="00AC18A4" w:rsidRDefault="00457D53" w:rsidP="00446E90">
      <w:pPr>
        <w:pStyle w:val="Funotentext"/>
      </w:pPr>
      <w:r w:rsidRPr="00AC18A4">
        <w:rPr>
          <w:rStyle w:val="Funotenzeichen"/>
        </w:rPr>
        <w:footnoteRef/>
      </w:r>
      <w:r w:rsidRPr="00AC18A4">
        <w:t xml:space="preserve"> </w:t>
      </w:r>
      <w:r w:rsidRPr="00AC18A4">
        <w:tab/>
        <w:t xml:space="preserve">Nach Art. 4 aIVV bestanden jedoch andere Anspruchsvoraussetzungen (vgl. Urteil </w:t>
      </w:r>
      <w:r>
        <w:t xml:space="preserve">des </w:t>
      </w:r>
      <w:r w:rsidRPr="00AC18A4">
        <w:t>EVG vom 27.12.2005 [</w:t>
      </w:r>
      <w:r w:rsidRPr="00AC18A4">
        <w:rPr>
          <w:szCs w:val="22"/>
        </w:rPr>
        <w:t>I 231/05]</w:t>
      </w:r>
      <w:r w:rsidRPr="00AC18A4">
        <w:t xml:space="preserve"> E. 1.4.1).</w:t>
      </w:r>
    </w:p>
  </w:footnote>
  <w:footnote w:id="98">
    <w:p w14:paraId="2867995D" w14:textId="4E6A66A8" w:rsidR="00457D53" w:rsidRPr="00AC18A4" w:rsidRDefault="00457D53" w:rsidP="00446E90">
      <w:pPr>
        <w:pStyle w:val="Funotentext"/>
      </w:pPr>
      <w:r w:rsidRPr="00AC18A4">
        <w:rPr>
          <w:rStyle w:val="Funotenzeichen"/>
        </w:rPr>
        <w:footnoteRef/>
      </w:r>
      <w:r w:rsidRPr="00AC18A4">
        <w:t xml:space="preserve"> </w:t>
      </w:r>
      <w:r w:rsidRPr="00AC18A4">
        <w:tab/>
        <w:t>Vgl. Art. 42</w:t>
      </w:r>
      <w:r w:rsidRPr="00AC18A4">
        <w:rPr>
          <w:vertAlign w:val="superscript"/>
        </w:rPr>
        <w:t>ter</w:t>
      </w:r>
      <w:r w:rsidRPr="00AC18A4">
        <w:t xml:space="preserve"> Abs. 3 IVG.</w:t>
      </w:r>
    </w:p>
  </w:footnote>
  <w:footnote w:id="99">
    <w:p w14:paraId="29733B42" w14:textId="62F108F4" w:rsidR="00457D53" w:rsidRPr="00AC18A4" w:rsidRDefault="00457D53" w:rsidP="00446E90">
      <w:pPr>
        <w:pStyle w:val="Funotentext"/>
      </w:pPr>
      <w:r w:rsidRPr="00AC18A4">
        <w:rPr>
          <w:rStyle w:val="Funotenzeichen"/>
        </w:rPr>
        <w:footnoteRef/>
      </w:r>
      <w:r w:rsidRPr="00AC18A4">
        <w:t xml:space="preserve"> </w:t>
      </w:r>
      <w:r w:rsidRPr="00AC18A4">
        <w:tab/>
        <w:t>Vgl. Art. 42</w:t>
      </w:r>
      <w:r w:rsidRPr="00AC18A4">
        <w:rPr>
          <w:vertAlign w:val="superscript"/>
        </w:rPr>
        <w:t>ter</w:t>
      </w:r>
      <w:r w:rsidRPr="00AC18A4">
        <w:t xml:space="preserve"> Abs. 3 IVG. Der monatliche Intensivpflegezuschlag beträgt bei einem invaliditätsbedingten Betreuungsaufwand von mindestens 8 Stunden pro Tag 60 Prozent, bei einem solchen von mindestens 6 Stunden pro Tag 40 Prozent und bei einem solchen von mindestens 4 Stunden pro Tag 20 Prozent des Höchstbetrages der Altersrente.</w:t>
      </w:r>
    </w:p>
  </w:footnote>
  <w:footnote w:id="100">
    <w:p w14:paraId="44B52ED7" w14:textId="585A19AF" w:rsidR="00457D53" w:rsidRPr="00AC18A4" w:rsidRDefault="00457D53" w:rsidP="00446E90">
      <w:pPr>
        <w:pStyle w:val="Funotentext"/>
      </w:pPr>
      <w:r w:rsidRPr="00AC18A4">
        <w:rPr>
          <w:rStyle w:val="Funotenzeichen"/>
        </w:rPr>
        <w:footnoteRef/>
      </w:r>
      <w:r w:rsidRPr="00AC18A4">
        <w:t xml:space="preserve"> </w:t>
      </w:r>
      <w:r w:rsidRPr="00AC18A4">
        <w:tab/>
        <w:t>Art. 42</w:t>
      </w:r>
      <w:r w:rsidRPr="00AC18A4">
        <w:rPr>
          <w:vertAlign w:val="superscript"/>
        </w:rPr>
        <w:t>ter</w:t>
      </w:r>
      <w:r w:rsidRPr="00AC18A4">
        <w:t xml:space="preserve"> Abs. 3 IVG und Art. 39 Abs. 1 IVV sprechen von «intensiver Betreuung». </w:t>
      </w:r>
    </w:p>
  </w:footnote>
  <w:footnote w:id="101">
    <w:p w14:paraId="75D2BC1A" w14:textId="5879EBDB" w:rsidR="00457D53" w:rsidRPr="00AC18A4" w:rsidRDefault="00457D53" w:rsidP="003F7802">
      <w:pPr>
        <w:pStyle w:val="Funotentext"/>
      </w:pPr>
      <w:r w:rsidRPr="00AC18A4">
        <w:rPr>
          <w:rStyle w:val="Funotenzeichen"/>
        </w:rPr>
        <w:footnoteRef/>
      </w:r>
      <w:r w:rsidRPr="00AC18A4">
        <w:t xml:space="preserve"> </w:t>
      </w:r>
      <w:r w:rsidRPr="00AC18A4">
        <w:tab/>
        <w:t>Vgl. Art. 39 Abs. 1 IVV.</w:t>
      </w:r>
    </w:p>
  </w:footnote>
  <w:footnote w:id="102">
    <w:p w14:paraId="30873505" w14:textId="454DE3F3" w:rsidR="00457D53" w:rsidRPr="00AC18A4" w:rsidRDefault="00457D53" w:rsidP="00446E90">
      <w:pPr>
        <w:pStyle w:val="Funotentext"/>
      </w:pPr>
      <w:r w:rsidRPr="00AC18A4">
        <w:rPr>
          <w:rStyle w:val="Funotenzeichen"/>
        </w:rPr>
        <w:footnoteRef/>
      </w:r>
      <w:r w:rsidRPr="00AC18A4">
        <w:tab/>
        <w:t xml:space="preserve">Vgl. Urteil </w:t>
      </w:r>
      <w:r>
        <w:t xml:space="preserve">des </w:t>
      </w:r>
      <w:r w:rsidRPr="00AC18A4">
        <w:t>BGer vom 05.03.2007 (I 567/06) E. 5.3 und 6.2.</w:t>
      </w:r>
    </w:p>
  </w:footnote>
  <w:footnote w:id="103">
    <w:p w14:paraId="4E09D928" w14:textId="3E91535B" w:rsidR="00457D53" w:rsidRPr="00AC18A4" w:rsidRDefault="00457D53" w:rsidP="00446E90">
      <w:pPr>
        <w:pStyle w:val="Funotentext"/>
      </w:pPr>
      <w:r w:rsidRPr="00AC18A4">
        <w:rPr>
          <w:rStyle w:val="Funotenzeichen"/>
        </w:rPr>
        <w:footnoteRef/>
      </w:r>
      <w:r w:rsidRPr="00AC18A4">
        <w:t xml:space="preserve"> </w:t>
      </w:r>
      <w:r w:rsidRPr="00AC18A4">
        <w:tab/>
        <w:t xml:space="preserve">Siehe Art. 39 Abs. 2 IVV. </w:t>
      </w:r>
    </w:p>
  </w:footnote>
  <w:footnote w:id="104">
    <w:p w14:paraId="6ADCB34A" w14:textId="582EB592" w:rsidR="00457D53" w:rsidRPr="00AC18A4" w:rsidRDefault="00457D53" w:rsidP="00446E90">
      <w:pPr>
        <w:pStyle w:val="Funotentext"/>
      </w:pPr>
      <w:r w:rsidRPr="00AC18A4">
        <w:rPr>
          <w:rStyle w:val="Funotenzeichen"/>
        </w:rPr>
        <w:footnoteRef/>
      </w:r>
      <w:r w:rsidRPr="00AC18A4">
        <w:t xml:space="preserve"> </w:t>
      </w:r>
      <w:r w:rsidRPr="00AC18A4">
        <w:tab/>
        <w:t xml:space="preserve">Vgl. Urteile </w:t>
      </w:r>
      <w:r>
        <w:t xml:space="preserve">des </w:t>
      </w:r>
      <w:r w:rsidRPr="00AC18A4">
        <w:t>BGer vom 17.04.2008 (9C_627/2007) E. 4.4.2 und vom 05.03.2007 (I 567/06) E. 5.2.</w:t>
      </w:r>
    </w:p>
  </w:footnote>
  <w:footnote w:id="105">
    <w:p w14:paraId="2FD6FCF8" w14:textId="38BA2A2F" w:rsidR="00457D53" w:rsidRPr="00AC18A4" w:rsidRDefault="00457D53" w:rsidP="00446E90">
      <w:pPr>
        <w:pStyle w:val="Funotentext"/>
      </w:pPr>
      <w:r w:rsidRPr="00AC18A4">
        <w:rPr>
          <w:rStyle w:val="Funotenzeichen"/>
        </w:rPr>
        <w:footnoteRef/>
      </w:r>
      <w:r w:rsidRPr="00AC18A4">
        <w:t xml:space="preserve"> </w:t>
      </w:r>
      <w:r w:rsidRPr="00AC18A4">
        <w:tab/>
        <w:t>Vgl. Art. 39 Abs. 3 IVV. Siehe dazu Urteile BGer vom 10.01.2008 (I 49/07) E. 6 (bejaht bei schwerem Autismus) und 01.03.2007 (I 386/06) E. 6 (verneint bei Epilepsie).</w:t>
      </w:r>
    </w:p>
  </w:footnote>
  <w:footnote w:id="106">
    <w:p w14:paraId="65B37CE6" w14:textId="12F88925" w:rsidR="00457D53" w:rsidRPr="00AC18A4" w:rsidRDefault="00457D53" w:rsidP="00446E90">
      <w:pPr>
        <w:pStyle w:val="Funotentext"/>
      </w:pPr>
      <w:r w:rsidRPr="00AC18A4">
        <w:rPr>
          <w:rStyle w:val="Funotenzeichen"/>
        </w:rPr>
        <w:footnoteRef/>
      </w:r>
      <w:r w:rsidRPr="00AC18A4">
        <w:tab/>
        <w:t xml:space="preserve">Vgl. Urteil </w:t>
      </w:r>
      <w:r>
        <w:t xml:space="preserve">des </w:t>
      </w:r>
      <w:r w:rsidRPr="00AC18A4">
        <w:t>EVG vom 19.12.2006 (I 684/05) E. 4.4.</w:t>
      </w:r>
    </w:p>
  </w:footnote>
  <w:footnote w:id="107">
    <w:p w14:paraId="2F3455D2" w14:textId="6C57C9B6" w:rsidR="00457D53" w:rsidRPr="00AC18A4" w:rsidRDefault="00457D53" w:rsidP="00446E90">
      <w:pPr>
        <w:pStyle w:val="Funotentext"/>
      </w:pPr>
      <w:r w:rsidRPr="00AC18A4">
        <w:rPr>
          <w:rStyle w:val="Funotenzeichen"/>
        </w:rPr>
        <w:footnoteRef/>
      </w:r>
      <w:r w:rsidRPr="00AC18A4">
        <w:t xml:space="preserve"> </w:t>
      </w:r>
      <w:r w:rsidRPr="00AC18A4">
        <w:tab/>
        <w:t xml:space="preserve">Vgl. </w:t>
      </w:r>
      <w:bookmarkStart w:id="51" w:name="OLE_LINK23"/>
      <w:r w:rsidRPr="00AC18A4">
        <w:t>Art. 42</w:t>
      </w:r>
      <w:r w:rsidRPr="00AC18A4">
        <w:rPr>
          <w:vertAlign w:val="superscript"/>
        </w:rPr>
        <w:t>quater</w:t>
      </w:r>
      <w:r w:rsidRPr="00AC18A4">
        <w:t xml:space="preserve"> ff. IVG</w:t>
      </w:r>
      <w:bookmarkEnd w:id="51"/>
      <w:r w:rsidRPr="00AC18A4">
        <w:t>, Art. 39a ff. IVV und Kreisschreiben über den Assistenzbeitrag (KSAB, gültig ab 1. Januar 2013) sowie Erläuterungen zur Verordnung über die Invalidenversicherung vom 16.11.2011 (nac</w:t>
      </w:r>
      <w:r w:rsidRPr="00AC18A4">
        <w:t>h</w:t>
      </w:r>
      <w:r w:rsidRPr="00AC18A4">
        <w:t>folgend Erläuterungen Assistenzbeitrag (online verfügbar).</w:t>
      </w:r>
    </w:p>
  </w:footnote>
  <w:footnote w:id="108">
    <w:p w14:paraId="05CD2B14" w14:textId="77777777" w:rsidR="00457D53" w:rsidRPr="00AC18A4" w:rsidRDefault="00457D53" w:rsidP="008876D6">
      <w:pPr>
        <w:pStyle w:val="Funotentext"/>
      </w:pPr>
      <w:r w:rsidRPr="00AC18A4">
        <w:rPr>
          <w:rStyle w:val="Funotenzeichen"/>
        </w:rPr>
        <w:footnoteRef/>
      </w:r>
      <w:r w:rsidRPr="00AC18A4">
        <w:t xml:space="preserve"> </w:t>
      </w:r>
      <w:r w:rsidRPr="00AC18A4">
        <w:tab/>
        <w:t>Vgl. Art. 1a lit. c IVG.</w:t>
      </w:r>
    </w:p>
  </w:footnote>
  <w:footnote w:id="109">
    <w:p w14:paraId="1FDCBE06" w14:textId="77777777" w:rsidR="00457D53" w:rsidRPr="00AC18A4" w:rsidRDefault="00457D53" w:rsidP="001F2CEC">
      <w:pPr>
        <w:pStyle w:val="Funotentext"/>
      </w:pPr>
      <w:r w:rsidRPr="00AC18A4">
        <w:rPr>
          <w:rStyle w:val="Funotenzeichen"/>
        </w:rPr>
        <w:footnoteRef/>
      </w:r>
      <w:r w:rsidRPr="00AC18A4">
        <w:t xml:space="preserve"> </w:t>
      </w:r>
      <w:r w:rsidRPr="00AC18A4">
        <w:tab/>
        <w:t>Vgl. Art. 42</w:t>
      </w:r>
      <w:r w:rsidRPr="00AC18A4">
        <w:rPr>
          <w:vertAlign w:val="superscript"/>
        </w:rPr>
        <w:t>quater</w:t>
      </w:r>
      <w:r w:rsidRPr="00AC18A4">
        <w:t xml:space="preserve"> Abs. 1 IVG.</w:t>
      </w:r>
    </w:p>
  </w:footnote>
  <w:footnote w:id="110">
    <w:p w14:paraId="5157F3AB" w14:textId="77777777" w:rsidR="00457D53" w:rsidRPr="00AC18A4" w:rsidRDefault="00457D53" w:rsidP="008B2F82">
      <w:pPr>
        <w:pStyle w:val="Funotentext"/>
      </w:pPr>
      <w:r w:rsidRPr="00AC18A4">
        <w:rPr>
          <w:rStyle w:val="Funotenzeichen"/>
        </w:rPr>
        <w:footnoteRef/>
      </w:r>
      <w:r w:rsidRPr="00AC18A4">
        <w:t xml:space="preserve"> </w:t>
      </w:r>
      <w:bookmarkStart w:id="52" w:name="OLE_LINK57"/>
      <w:r w:rsidRPr="00AC18A4">
        <w:tab/>
        <w:t>Vgl. Art. 39a lit. a IVV.</w:t>
      </w:r>
      <w:bookmarkEnd w:id="52"/>
    </w:p>
  </w:footnote>
  <w:footnote w:id="111">
    <w:p w14:paraId="362BD74A" w14:textId="77777777" w:rsidR="00457D53" w:rsidRPr="00AC18A4" w:rsidRDefault="00457D53" w:rsidP="008B2F82">
      <w:pPr>
        <w:pStyle w:val="Funotentext"/>
      </w:pPr>
      <w:r w:rsidRPr="00AC18A4">
        <w:rPr>
          <w:rStyle w:val="Funotenzeichen"/>
        </w:rPr>
        <w:footnoteRef/>
      </w:r>
      <w:r w:rsidRPr="00AC18A4">
        <w:t xml:space="preserve"> </w:t>
      </w:r>
      <w:r w:rsidRPr="00AC18A4">
        <w:tab/>
        <w:t>Vgl. Art. 39a lit. b IVV.</w:t>
      </w:r>
    </w:p>
  </w:footnote>
  <w:footnote w:id="112">
    <w:p w14:paraId="4AEF0880" w14:textId="77777777" w:rsidR="00457D53" w:rsidRPr="00AC18A4" w:rsidRDefault="00457D53" w:rsidP="008B2F82">
      <w:pPr>
        <w:pStyle w:val="Funotentext"/>
      </w:pPr>
      <w:r w:rsidRPr="00AC18A4">
        <w:rPr>
          <w:rStyle w:val="Funotenzeichen"/>
        </w:rPr>
        <w:footnoteRef/>
      </w:r>
      <w:r w:rsidRPr="00AC18A4">
        <w:t xml:space="preserve"> </w:t>
      </w:r>
      <w:bookmarkStart w:id="53" w:name="OLE_LINK61"/>
      <w:bookmarkStart w:id="54" w:name="OLE_LINK62"/>
      <w:bookmarkStart w:id="55" w:name="OLE_LINK63"/>
      <w:r w:rsidRPr="00AC18A4">
        <w:tab/>
        <w:t>Vgl. Art. 39a lit. c IVV.</w:t>
      </w:r>
      <w:bookmarkEnd w:id="53"/>
      <w:bookmarkEnd w:id="54"/>
      <w:bookmarkEnd w:id="55"/>
    </w:p>
  </w:footnote>
  <w:footnote w:id="113">
    <w:p w14:paraId="4F25EF70" w14:textId="3B4F189F" w:rsidR="00457D53" w:rsidRPr="00AC18A4" w:rsidRDefault="00457D53" w:rsidP="008B2F82">
      <w:pPr>
        <w:pStyle w:val="Funotentext"/>
      </w:pPr>
      <w:r w:rsidRPr="00AC18A4">
        <w:rPr>
          <w:rStyle w:val="Funotenzeichen"/>
        </w:rPr>
        <w:footnoteRef/>
      </w:r>
      <w:r w:rsidRPr="00AC18A4">
        <w:t xml:space="preserve"> </w:t>
      </w:r>
      <w:r w:rsidRPr="00AC18A4">
        <w:tab/>
        <w:t xml:space="preserve">Siehe </w:t>
      </w:r>
      <w:bookmarkStart w:id="56" w:name="OLE_LINK53"/>
      <w:r w:rsidRPr="00AC18A4">
        <w:t xml:space="preserve">Erläuterungen Assistenzbeitrag (zit. oben Fn </w:t>
      </w:r>
      <w:r>
        <w:t>106</w:t>
      </w:r>
      <w:r w:rsidRPr="00AC18A4">
        <w:t>), 13.</w:t>
      </w:r>
      <w:bookmarkEnd w:id="56"/>
      <w:r w:rsidRPr="00AC18A4">
        <w:t xml:space="preserve"> </w:t>
      </w:r>
    </w:p>
  </w:footnote>
  <w:footnote w:id="114">
    <w:p w14:paraId="77DEE908" w14:textId="7A95710A"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Vgl. Art. 9 ff. ELG.</w:t>
      </w:r>
    </w:p>
  </w:footnote>
  <w:footnote w:id="115">
    <w:p w14:paraId="1E589920" w14:textId="76136FB2" w:rsidR="00457D53" w:rsidRPr="00AC18A4" w:rsidRDefault="00457D53">
      <w:pPr>
        <w:pStyle w:val="Funotentext"/>
        <w:rPr>
          <w:lang w:val="de-DE"/>
        </w:rPr>
      </w:pPr>
      <w:r w:rsidRPr="00AC18A4">
        <w:rPr>
          <w:rStyle w:val="Funotenzeichen"/>
        </w:rPr>
        <w:footnoteRef/>
      </w:r>
      <w:r>
        <w:t xml:space="preserve"> </w:t>
      </w:r>
      <w:r w:rsidRPr="00AC18A4">
        <w:rPr>
          <w:lang w:val="de-DE"/>
        </w:rPr>
        <w:tab/>
        <w:t>Vgl. Art. 14 ELG.</w:t>
      </w:r>
    </w:p>
  </w:footnote>
  <w:footnote w:id="116">
    <w:p w14:paraId="151D1A34" w14:textId="396EEF54" w:rsidR="00457D53" w:rsidRPr="00AC18A4" w:rsidRDefault="00457D53">
      <w:pPr>
        <w:pStyle w:val="Funotentext"/>
        <w:rPr>
          <w:lang w:val="de-DE"/>
        </w:rPr>
      </w:pPr>
      <w:r w:rsidRPr="00AC18A4">
        <w:rPr>
          <w:rStyle w:val="Funotenzeichen"/>
        </w:rPr>
        <w:footnoteRef/>
      </w:r>
      <w:r>
        <w:t xml:space="preserve"> </w:t>
      </w:r>
      <w:r w:rsidRPr="00AC18A4">
        <w:rPr>
          <w:lang w:val="de-DE"/>
        </w:rPr>
        <w:tab/>
        <w:t>Vgl. Art. 3 Abs. 2 ELG.</w:t>
      </w:r>
    </w:p>
  </w:footnote>
  <w:footnote w:id="117">
    <w:p w14:paraId="50EE848E" w14:textId="311277C6"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4 Abs. 1 ELV.</w:t>
      </w:r>
    </w:p>
  </w:footnote>
  <w:footnote w:id="118">
    <w:p w14:paraId="7CE13DA9" w14:textId="06AD8C74" w:rsidR="00457D53" w:rsidRPr="00AC18A4" w:rsidRDefault="00457D53">
      <w:pPr>
        <w:pStyle w:val="Funotentext"/>
        <w:rPr>
          <w:lang w:val="de-DE"/>
        </w:rPr>
      </w:pPr>
      <w:r w:rsidRPr="00AC18A4">
        <w:rPr>
          <w:rStyle w:val="Funotenzeichen"/>
        </w:rPr>
        <w:footnoteRef/>
      </w:r>
      <w:r>
        <w:t xml:space="preserve"> </w:t>
      </w:r>
      <w:r w:rsidRPr="00AC18A4">
        <w:rPr>
          <w:lang w:val="de-DE"/>
        </w:rPr>
        <w:tab/>
        <w:t>Vgl. Art. 4 Abs. 2 ELV.</w:t>
      </w:r>
    </w:p>
  </w:footnote>
  <w:footnote w:id="119">
    <w:p w14:paraId="14ADA52F" w14:textId="3FC640F3" w:rsidR="00457D53" w:rsidRPr="00AC18A4" w:rsidRDefault="00457D53">
      <w:pPr>
        <w:pStyle w:val="Funotentext"/>
        <w:rPr>
          <w:lang w:val="de-DE"/>
        </w:rPr>
      </w:pPr>
      <w:r w:rsidRPr="00AC18A4">
        <w:rPr>
          <w:rStyle w:val="Funotenzeichen"/>
        </w:rPr>
        <w:footnoteRef/>
      </w:r>
      <w:r>
        <w:t xml:space="preserve"> </w:t>
      </w:r>
      <w:r w:rsidRPr="00AC18A4">
        <w:rPr>
          <w:lang w:val="de-DE"/>
        </w:rPr>
        <w:tab/>
        <w:t>Vgl. Art. 8 Abs. 1 ELV.</w:t>
      </w:r>
    </w:p>
  </w:footnote>
  <w:footnote w:id="120">
    <w:p w14:paraId="31E49FC5" w14:textId="7A87551F" w:rsidR="00457D53" w:rsidRPr="00AC18A4" w:rsidRDefault="00457D53">
      <w:pPr>
        <w:pStyle w:val="Funotentext"/>
        <w:rPr>
          <w:lang w:val="de-DE"/>
        </w:rPr>
      </w:pPr>
      <w:r w:rsidRPr="00AC18A4">
        <w:rPr>
          <w:rStyle w:val="Funotenzeichen"/>
        </w:rPr>
        <w:footnoteRef/>
      </w:r>
      <w:r>
        <w:t xml:space="preserve"> </w:t>
      </w:r>
      <w:r w:rsidRPr="00AC18A4">
        <w:rPr>
          <w:lang w:val="de-DE"/>
        </w:rPr>
        <w:tab/>
        <w:t>Vgl. Art. 8 Abs. 2 ELV.</w:t>
      </w:r>
    </w:p>
  </w:footnote>
  <w:footnote w:id="121">
    <w:p w14:paraId="4E2C9AF4" w14:textId="1687264F"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w:t>
      </w:r>
      <w:r>
        <w:rPr>
          <w:lang w:val="de-DE"/>
        </w:rPr>
        <w:t xml:space="preserve"> </w:t>
      </w:r>
      <w:r w:rsidRPr="00AC18A4">
        <w:rPr>
          <w:lang w:val="de-DE"/>
        </w:rPr>
        <w:t>Art. 22 Abs. 2 und 3 sowie Art. 23</w:t>
      </w:r>
      <w:r w:rsidRPr="00AC18A4">
        <w:rPr>
          <w:vertAlign w:val="superscript"/>
          <w:lang w:val="de-DE"/>
        </w:rPr>
        <w:t>bis</w:t>
      </w:r>
      <w:r w:rsidRPr="00AC18A4">
        <w:rPr>
          <w:lang w:val="de-DE"/>
        </w:rPr>
        <w:t xml:space="preserve"> IVG. </w:t>
      </w:r>
    </w:p>
  </w:footnote>
  <w:footnote w:id="122">
    <w:p w14:paraId="01BDE1B2" w14:textId="5EBB05FD"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Vgl. z.B. Art. 35 und 38 IVG.</w:t>
      </w:r>
    </w:p>
  </w:footnote>
  <w:footnote w:id="123">
    <w:p w14:paraId="74882B83" w14:textId="06BF266E"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Vgl. Art. 11a IVG.</w:t>
      </w:r>
    </w:p>
  </w:footnote>
  <w:footnote w:id="124">
    <w:p w14:paraId="12F38BDD" w14:textId="0B571352"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 xml:space="preserve">Siehe etwa </w:t>
      </w:r>
      <w:r w:rsidRPr="00AC18A4">
        <w:t>BGE 121 V 8 E. 6b = AJP 1995, 1500 ff. (Stillbesuche, Verweigerung von Fahrkostenüberna</w:t>
      </w:r>
      <w:r w:rsidRPr="00AC18A4">
        <w:t>h</w:t>
      </w:r>
      <w:r w:rsidRPr="00AC18A4">
        <w:t>me, keine Verletzung von Art. 8 EMRK) und 118 V 206 E. 5b und c = EuGRZ 1993, 83 (Besuchskosten der Eltern, Verweigerung von Reisekostenübernahme, Ver</w:t>
      </w:r>
      <w:r>
        <w:t>letzung von Art. 8 EMRK bejaht).</w:t>
      </w:r>
    </w:p>
  </w:footnote>
  <w:footnote w:id="125">
    <w:p w14:paraId="0050D77E" w14:textId="25E17E26"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BGE 134 I 105 E. 4 – 8.</w:t>
      </w:r>
    </w:p>
  </w:footnote>
  <w:footnote w:id="126">
    <w:p w14:paraId="7D691E34" w14:textId="77777777" w:rsidR="00457D53" w:rsidRPr="00AC18A4" w:rsidRDefault="00457D53" w:rsidP="00CE182D">
      <w:pPr>
        <w:pStyle w:val="Funotentext"/>
        <w:rPr>
          <w:lang w:val="de-DE"/>
        </w:rPr>
      </w:pPr>
      <w:r w:rsidRPr="00AC18A4">
        <w:rPr>
          <w:rStyle w:val="Funotenzeichen"/>
        </w:rPr>
        <w:footnoteRef/>
      </w:r>
      <w:r w:rsidRPr="00AC18A4">
        <w:t xml:space="preserve"> </w:t>
      </w:r>
      <w:r w:rsidRPr="00AC18A4">
        <w:tab/>
      </w:r>
      <w:r w:rsidRPr="00AC18A4">
        <w:rPr>
          <w:lang w:val="de-DE"/>
        </w:rPr>
        <w:t>Vgl. BGE 133 V 320 E. 5.1</w:t>
      </w:r>
      <w:r w:rsidRPr="00AC18A4">
        <w:t xml:space="preserve"> – </w:t>
      </w:r>
      <w:r w:rsidRPr="00AC18A4">
        <w:rPr>
          <w:lang w:val="de-DE"/>
        </w:rPr>
        <w:t>5.5</w:t>
      </w:r>
      <w:r w:rsidRPr="00AC18A4">
        <w:t>.</w:t>
      </w:r>
    </w:p>
  </w:footnote>
  <w:footnote w:id="127">
    <w:p w14:paraId="44B8997E" w14:textId="77777777" w:rsidR="00457D53" w:rsidRPr="00AC18A4" w:rsidRDefault="00457D53" w:rsidP="00CE182D">
      <w:pPr>
        <w:pStyle w:val="Funotentext"/>
        <w:rPr>
          <w:lang w:val="de-DE"/>
        </w:rPr>
      </w:pPr>
      <w:r w:rsidRPr="00AC18A4">
        <w:rPr>
          <w:rStyle w:val="Funotenzeichen"/>
        </w:rPr>
        <w:footnoteRef/>
      </w:r>
      <w:r w:rsidRPr="00AC18A4">
        <w:t xml:space="preserve"> </w:t>
      </w:r>
      <w:r w:rsidRPr="00AC18A4">
        <w:tab/>
      </w:r>
      <w:r w:rsidRPr="00AC18A4">
        <w:rPr>
          <w:lang w:val="de-DE"/>
        </w:rPr>
        <w:t>Ibid</w:t>
      </w:r>
      <w:r w:rsidRPr="00AC18A4">
        <w:t>. E. 5.6.</w:t>
      </w:r>
    </w:p>
  </w:footnote>
  <w:footnote w:id="128">
    <w:p w14:paraId="4AA2C31D" w14:textId="6BE342A4" w:rsidR="00457D53" w:rsidRPr="00AC18A4" w:rsidRDefault="00457D53">
      <w:pPr>
        <w:pStyle w:val="Funotentext"/>
        <w:rPr>
          <w:lang w:val="de-DE"/>
        </w:rPr>
      </w:pPr>
      <w:r w:rsidRPr="00AC18A4">
        <w:rPr>
          <w:rStyle w:val="Funotenzeichen"/>
        </w:rPr>
        <w:footnoteRef/>
      </w:r>
      <w:r>
        <w:t xml:space="preserve"> </w:t>
      </w:r>
      <w:r w:rsidRPr="00AC18A4">
        <w:tab/>
      </w:r>
      <w:r w:rsidRPr="00AC18A4">
        <w:rPr>
          <w:lang w:val="de-DE"/>
        </w:rPr>
        <w:t>Bundesgesetz über die Familienzulagen (Familienzulagengesetz, FamZG) vom 24. März 2006 (SR 836.2).</w:t>
      </w:r>
    </w:p>
  </w:footnote>
  <w:footnote w:id="129">
    <w:p w14:paraId="761722A4" w14:textId="4678A73A" w:rsidR="00457D53" w:rsidRPr="00AC18A4" w:rsidRDefault="00457D53">
      <w:pPr>
        <w:pStyle w:val="Funotentext"/>
        <w:rPr>
          <w:lang w:val="de-DE"/>
        </w:rPr>
      </w:pPr>
      <w:r w:rsidRPr="00AC18A4">
        <w:rPr>
          <w:rStyle w:val="Funotenzeichen"/>
        </w:rPr>
        <w:footnoteRef/>
      </w:r>
      <w:r>
        <w:t xml:space="preserve"> </w:t>
      </w:r>
      <w:r w:rsidRPr="00AC18A4">
        <w:tab/>
      </w:r>
      <w:r w:rsidRPr="00AC18A4">
        <w:rPr>
          <w:lang w:val="de-DE"/>
        </w:rPr>
        <w:t>Vgl. Art. 2 FamZG.</w:t>
      </w:r>
    </w:p>
  </w:footnote>
  <w:footnote w:id="130">
    <w:p w14:paraId="2D9A66E5" w14:textId="2833FE69" w:rsidR="00457D53" w:rsidRPr="00AC18A4" w:rsidRDefault="00457D53">
      <w:pPr>
        <w:pStyle w:val="Funotentext"/>
        <w:rPr>
          <w:lang w:val="de-DE"/>
        </w:rPr>
      </w:pPr>
      <w:r w:rsidRPr="00AC18A4">
        <w:rPr>
          <w:rStyle w:val="Funotenzeichen"/>
        </w:rPr>
        <w:footnoteRef/>
      </w:r>
      <w:r>
        <w:t xml:space="preserve"> </w:t>
      </w:r>
      <w:r w:rsidRPr="00AC18A4">
        <w:tab/>
      </w:r>
      <w:r w:rsidRPr="00AC18A4">
        <w:rPr>
          <w:lang w:val="de-DE"/>
        </w:rPr>
        <w:t>Bundesgesetz über die Familienzulagen in der Landwirtschaft (FLG) vom 20. Juni 1952 (SR 836.1).</w:t>
      </w:r>
    </w:p>
  </w:footnote>
  <w:footnote w:id="131">
    <w:p w14:paraId="3DF23EAD" w14:textId="241A319D" w:rsidR="00457D53" w:rsidRPr="00AC18A4" w:rsidRDefault="00457D53">
      <w:pPr>
        <w:pStyle w:val="Funotentext"/>
        <w:rPr>
          <w:lang w:val="de-DE"/>
        </w:rPr>
      </w:pPr>
      <w:r w:rsidRPr="00AC18A4">
        <w:rPr>
          <w:rStyle w:val="Funotenzeichen"/>
        </w:rPr>
        <w:footnoteRef/>
      </w:r>
      <w:r>
        <w:t xml:space="preserve"> </w:t>
      </w:r>
      <w:r w:rsidRPr="00AC18A4">
        <w:tab/>
        <w:t>Siehe Art. 17 FamZG.</w:t>
      </w:r>
    </w:p>
  </w:footnote>
  <w:footnote w:id="132">
    <w:p w14:paraId="7118DC73" w14:textId="19A25039" w:rsidR="00457D53" w:rsidRPr="00AC18A4" w:rsidRDefault="00457D53">
      <w:pPr>
        <w:pStyle w:val="Funotentext"/>
        <w:rPr>
          <w:lang w:val="de-DE"/>
        </w:rPr>
      </w:pPr>
      <w:r w:rsidRPr="00AC18A4">
        <w:rPr>
          <w:rStyle w:val="Funotenzeichen"/>
        </w:rPr>
        <w:footnoteRef/>
      </w:r>
      <w:r>
        <w:t xml:space="preserve"> </w:t>
      </w:r>
      <w:r w:rsidRPr="00AC18A4">
        <w:tab/>
      </w:r>
      <w:r w:rsidRPr="00AC18A4">
        <w:rPr>
          <w:lang w:val="de-DE"/>
        </w:rPr>
        <w:t>Vgl. Art. 3 Abs. 1 lit. A FamZG.</w:t>
      </w:r>
    </w:p>
  </w:footnote>
  <w:footnote w:id="133">
    <w:p w14:paraId="4CFB52F8" w14:textId="42CA4158" w:rsidR="00457D53" w:rsidRPr="00AC18A4" w:rsidRDefault="00457D53">
      <w:pPr>
        <w:pStyle w:val="Funotentext"/>
        <w:rPr>
          <w:lang w:val="de-DE"/>
        </w:rPr>
      </w:pPr>
      <w:r w:rsidRPr="00AC18A4">
        <w:rPr>
          <w:rStyle w:val="Funotenzeichen"/>
        </w:rPr>
        <w:footnoteRef/>
      </w:r>
      <w:r>
        <w:t xml:space="preserve"> </w:t>
      </w:r>
      <w:r w:rsidRPr="00AC18A4">
        <w:tab/>
        <w:t xml:space="preserve">Siehe </w:t>
      </w:r>
      <w:r w:rsidRPr="00AC18A4">
        <w:rPr>
          <w:lang w:val="de-DE"/>
        </w:rPr>
        <w:t>Loi sur les allocations familiales (LAF) du 1</w:t>
      </w:r>
      <w:r w:rsidRPr="00AC18A4">
        <w:rPr>
          <w:szCs w:val="16"/>
          <w:vertAlign w:val="superscript"/>
          <w:lang w:val="de-DE"/>
        </w:rPr>
        <w:t xml:space="preserve">er </w:t>
      </w:r>
      <w:r w:rsidRPr="00AC18A4">
        <w:rPr>
          <w:lang w:val="de-DE"/>
        </w:rPr>
        <w:t>mars 1996 (J 5 10).</w:t>
      </w:r>
    </w:p>
  </w:footnote>
  <w:footnote w:id="134">
    <w:p w14:paraId="3E5937FA" w14:textId="49381AF4" w:rsidR="00457D53" w:rsidRPr="00AC18A4" w:rsidRDefault="00457D53">
      <w:pPr>
        <w:pStyle w:val="Funotentext"/>
        <w:rPr>
          <w:lang w:val="de-DE"/>
        </w:rPr>
      </w:pPr>
      <w:r w:rsidRPr="00AC18A4">
        <w:rPr>
          <w:rStyle w:val="Funotenzeichen"/>
        </w:rPr>
        <w:footnoteRef/>
      </w:r>
      <w:r>
        <w:t xml:space="preserve"> </w:t>
      </w:r>
      <w:r w:rsidRPr="00AC18A4">
        <w:rPr>
          <w:lang w:val="de-DE"/>
        </w:rPr>
        <w:tab/>
        <w:t>Vgl. Art. 8 Abs. 2 lit. b LAF</w:t>
      </w:r>
      <w:r>
        <w:rPr>
          <w:lang w:val="de-DE"/>
        </w:rPr>
        <w:t>.</w:t>
      </w:r>
    </w:p>
  </w:footnote>
  <w:footnote w:id="135">
    <w:p w14:paraId="5879FA14" w14:textId="086EEFE4" w:rsidR="00457D53" w:rsidRPr="00AC18A4" w:rsidRDefault="00457D53">
      <w:pPr>
        <w:pStyle w:val="Funotentext"/>
        <w:rPr>
          <w:lang w:val="de-DE"/>
        </w:rPr>
      </w:pPr>
      <w:r w:rsidRPr="00AC18A4">
        <w:rPr>
          <w:rStyle w:val="Funotenzeichen"/>
        </w:rPr>
        <w:footnoteRef/>
      </w:r>
      <w:r>
        <w:t xml:space="preserve"> </w:t>
      </w:r>
      <w:r w:rsidRPr="00AC18A4">
        <w:tab/>
        <w:t>Vgl. Art. 8 Abs. 4 lit. b LAF</w:t>
      </w:r>
      <w:r>
        <w:t>.</w:t>
      </w:r>
    </w:p>
  </w:footnote>
  <w:footnote w:id="136">
    <w:p w14:paraId="706E568F" w14:textId="16396752" w:rsidR="00457D53" w:rsidRPr="00AC18A4" w:rsidRDefault="00457D53">
      <w:pPr>
        <w:pStyle w:val="Funotentext"/>
        <w:rPr>
          <w:lang w:val="de-DE"/>
        </w:rPr>
      </w:pPr>
      <w:r w:rsidRPr="00AC18A4">
        <w:rPr>
          <w:rStyle w:val="Funotenzeichen"/>
        </w:rPr>
        <w:footnoteRef/>
      </w:r>
      <w:r>
        <w:t xml:space="preserve"> </w:t>
      </w:r>
      <w:r w:rsidRPr="00AC18A4">
        <w:t>Bundesgesetz über den Erwerbsersatz für Dienstleistende und bei Mutterschaft (Erwerbsersatzgesetz, EOG) vom 25. September 1952 (SR 834.1).</w:t>
      </w:r>
    </w:p>
  </w:footnote>
  <w:footnote w:id="137">
    <w:p w14:paraId="35305320" w14:textId="589BCA6E" w:rsidR="00457D53" w:rsidRPr="00AC18A4" w:rsidRDefault="00457D53">
      <w:pPr>
        <w:pStyle w:val="Funotentext"/>
        <w:rPr>
          <w:lang w:val="de-DE"/>
        </w:rPr>
      </w:pPr>
      <w:r w:rsidRPr="00AC18A4">
        <w:rPr>
          <w:rStyle w:val="Funotenzeichen"/>
        </w:rPr>
        <w:footnoteRef/>
      </w:r>
      <w:r>
        <w:t xml:space="preserve"> </w:t>
      </w:r>
      <w:r w:rsidRPr="00AC18A4">
        <w:tab/>
        <w:t xml:space="preserve">Vgl. </w:t>
      </w:r>
      <w:r w:rsidRPr="00AC18A4">
        <w:rPr>
          <w:lang w:val="de-DE"/>
        </w:rPr>
        <w:t>Art. 16c Abs. 2 EOG.</w:t>
      </w:r>
    </w:p>
  </w:footnote>
  <w:footnote w:id="138">
    <w:p w14:paraId="2633AA2F" w14:textId="48245696"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11a Abs. 1 IVG.</w:t>
      </w:r>
    </w:p>
  </w:footnote>
  <w:footnote w:id="139">
    <w:p w14:paraId="7685C32B" w14:textId="73D2E4C2"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r>
      <w:bookmarkStart w:id="65" w:name="OLE_LINK65"/>
      <w:bookmarkStart w:id="66" w:name="OLE_LINK66"/>
      <w:r w:rsidRPr="00AC18A4">
        <w:rPr>
          <w:lang w:val="de-DE"/>
        </w:rPr>
        <w:t>Vgl. Art. 11a Abs. 2 IVG.</w:t>
      </w:r>
      <w:bookmarkEnd w:id="65"/>
      <w:bookmarkEnd w:id="66"/>
    </w:p>
  </w:footnote>
  <w:footnote w:id="140">
    <w:p w14:paraId="49A628C8" w14:textId="1E82C704" w:rsidR="00457D53" w:rsidRPr="00AC18A4" w:rsidRDefault="00457D53">
      <w:pPr>
        <w:pStyle w:val="Funotentext"/>
        <w:rPr>
          <w:lang w:val="de-DE"/>
        </w:rPr>
      </w:pPr>
      <w:r w:rsidRPr="00AC18A4">
        <w:rPr>
          <w:rStyle w:val="Funotenzeichen"/>
        </w:rPr>
        <w:footnoteRef/>
      </w:r>
      <w:r>
        <w:t xml:space="preserve"> </w:t>
      </w:r>
      <w:r w:rsidRPr="00AC18A4">
        <w:rPr>
          <w:lang w:val="de-DE"/>
        </w:rPr>
        <w:tab/>
        <w:t>Vgl. Art. 22</w:t>
      </w:r>
      <w:r w:rsidRPr="00AC18A4">
        <w:rPr>
          <w:vertAlign w:val="superscript"/>
          <w:lang w:val="de-DE"/>
        </w:rPr>
        <w:t>quater</w:t>
      </w:r>
      <w:r w:rsidRPr="00AC18A4">
        <w:rPr>
          <w:lang w:val="de-DE"/>
        </w:rPr>
        <w:t xml:space="preserve"> Abs. 1 IVV.</w:t>
      </w:r>
    </w:p>
  </w:footnote>
  <w:footnote w:id="141">
    <w:p w14:paraId="4F77463D" w14:textId="62ACD9B8" w:rsidR="00457D53" w:rsidRPr="00AC18A4" w:rsidRDefault="00457D53">
      <w:pPr>
        <w:pStyle w:val="Funotentext"/>
        <w:rPr>
          <w:lang w:val="de-DE"/>
        </w:rPr>
      </w:pPr>
      <w:r w:rsidRPr="00AC18A4">
        <w:rPr>
          <w:rStyle w:val="Funotenzeichen"/>
        </w:rPr>
        <w:footnoteRef/>
      </w:r>
      <w:r>
        <w:t xml:space="preserve"> </w:t>
      </w:r>
      <w:r>
        <w:tab/>
      </w:r>
      <w:r w:rsidRPr="00AC18A4">
        <w:rPr>
          <w:lang w:val="de-DE"/>
        </w:rPr>
        <w:t>Vgl. Art 29</w:t>
      </w:r>
      <w:r w:rsidRPr="00AC18A4">
        <w:rPr>
          <w:szCs w:val="16"/>
          <w:vertAlign w:val="superscript"/>
          <w:lang w:val="de-DE"/>
        </w:rPr>
        <w:t>sexies</w:t>
      </w:r>
      <w:r w:rsidRPr="00AC18A4">
        <w:rPr>
          <w:lang w:val="de-DE"/>
        </w:rPr>
        <w:t xml:space="preserve"> AHVG</w:t>
      </w:r>
      <w:r>
        <w:rPr>
          <w:lang w:val="de-DE"/>
        </w:rPr>
        <w:t>.</w:t>
      </w:r>
    </w:p>
  </w:footnote>
  <w:footnote w:id="142">
    <w:p w14:paraId="0F9F3E20" w14:textId="7692DF31" w:rsidR="00457D53" w:rsidRPr="00AC18A4" w:rsidRDefault="00457D53">
      <w:pPr>
        <w:pStyle w:val="Funotentext"/>
        <w:rPr>
          <w:lang w:val="de-DE"/>
        </w:rPr>
      </w:pPr>
      <w:r w:rsidRPr="00AC18A4">
        <w:rPr>
          <w:rStyle w:val="Funotenzeichen"/>
        </w:rPr>
        <w:footnoteRef/>
      </w:r>
      <w:r>
        <w:t xml:space="preserve"> </w:t>
      </w:r>
      <w:r>
        <w:tab/>
      </w:r>
      <w:r w:rsidRPr="00AC18A4">
        <w:t>Siehe Art. 29</w:t>
      </w:r>
      <w:r w:rsidRPr="00AC18A4">
        <w:rPr>
          <w:szCs w:val="16"/>
          <w:vertAlign w:val="superscript"/>
        </w:rPr>
        <w:t xml:space="preserve">septies </w:t>
      </w:r>
      <w:r w:rsidRPr="00AC18A4">
        <w:t>AHVG</w:t>
      </w:r>
      <w:r>
        <w:t>.</w:t>
      </w:r>
    </w:p>
  </w:footnote>
  <w:footnote w:id="143">
    <w:p w14:paraId="144E2D1B" w14:textId="5C672A49" w:rsidR="00457D53" w:rsidRPr="00AC18A4" w:rsidRDefault="00457D53">
      <w:pPr>
        <w:pStyle w:val="Funotentext"/>
        <w:rPr>
          <w:lang w:val="de-DE"/>
        </w:rPr>
      </w:pPr>
      <w:r w:rsidRPr="00AC18A4">
        <w:rPr>
          <w:rStyle w:val="Funotenzeichen"/>
        </w:rPr>
        <w:footnoteRef/>
      </w:r>
      <w:r>
        <w:t xml:space="preserve"> </w:t>
      </w:r>
      <w:r>
        <w:rPr>
          <w:lang w:val="de-DE"/>
        </w:rPr>
        <w:tab/>
      </w:r>
      <w:r w:rsidRPr="00AC18A4">
        <w:rPr>
          <w:lang w:val="de-DE"/>
        </w:rPr>
        <w:t>Vgl. Art 29</w:t>
      </w:r>
      <w:r w:rsidRPr="00AC18A4">
        <w:rPr>
          <w:szCs w:val="16"/>
          <w:vertAlign w:val="superscript"/>
          <w:lang w:val="de-DE"/>
        </w:rPr>
        <w:t>sexies</w:t>
      </w:r>
      <w:r w:rsidRPr="00AC18A4">
        <w:rPr>
          <w:lang w:val="de-DE"/>
        </w:rPr>
        <w:t xml:space="preserve"> Abs. 1 AHVG</w:t>
      </w:r>
      <w:r>
        <w:rPr>
          <w:lang w:val="de-DE"/>
        </w:rPr>
        <w:t>.</w:t>
      </w:r>
    </w:p>
  </w:footnote>
  <w:footnote w:id="144">
    <w:p w14:paraId="58E4D43D" w14:textId="09FBDD3B" w:rsidR="00457D53" w:rsidRPr="00AC18A4" w:rsidRDefault="00457D53">
      <w:pPr>
        <w:pStyle w:val="Funotentext"/>
        <w:rPr>
          <w:lang w:val="de-DE"/>
        </w:rPr>
      </w:pPr>
      <w:r w:rsidRPr="00AC18A4">
        <w:rPr>
          <w:rStyle w:val="Funotenzeichen"/>
        </w:rPr>
        <w:footnoteRef/>
      </w:r>
      <w:r>
        <w:t xml:space="preserve"> </w:t>
      </w:r>
      <w:r>
        <w:rPr>
          <w:lang w:val="de-DE"/>
        </w:rPr>
        <w:tab/>
      </w:r>
      <w:r w:rsidRPr="00AC18A4">
        <w:rPr>
          <w:lang w:val="de-DE"/>
        </w:rPr>
        <w:t>Siehe Art. 29</w:t>
      </w:r>
      <w:r w:rsidRPr="00AC18A4">
        <w:rPr>
          <w:szCs w:val="16"/>
          <w:vertAlign w:val="superscript"/>
          <w:lang w:val="de-DE"/>
        </w:rPr>
        <w:t>septies</w:t>
      </w:r>
      <w:r w:rsidRPr="00AC18A4">
        <w:rPr>
          <w:lang w:val="de-DE"/>
        </w:rPr>
        <w:t xml:space="preserve"> Abs. 1 AHVG.</w:t>
      </w:r>
    </w:p>
  </w:footnote>
  <w:footnote w:id="145">
    <w:p w14:paraId="644E262F" w14:textId="2B3BB36F" w:rsidR="00457D53" w:rsidRPr="00AC18A4" w:rsidRDefault="00457D53">
      <w:pPr>
        <w:pStyle w:val="Funotentext"/>
        <w:rPr>
          <w:lang w:val="de-DE"/>
        </w:rPr>
      </w:pPr>
      <w:r w:rsidRPr="00AC18A4">
        <w:rPr>
          <w:rStyle w:val="Funotenzeichen"/>
        </w:rPr>
        <w:footnoteRef/>
      </w:r>
      <w:r w:rsidRPr="00AC18A4">
        <w:t xml:space="preserve"> </w:t>
      </w:r>
      <w:r w:rsidRPr="00AC18A4">
        <w:tab/>
      </w:r>
      <w:r w:rsidRPr="00AC18A4">
        <w:rPr>
          <w:lang w:val="de-DE"/>
        </w:rPr>
        <w:t>Vgl. Art. 29</w:t>
      </w:r>
      <w:r w:rsidRPr="00AC18A4">
        <w:rPr>
          <w:szCs w:val="16"/>
          <w:vertAlign w:val="superscript"/>
          <w:lang w:val="de-DE"/>
        </w:rPr>
        <w:t>septies</w:t>
      </w:r>
      <w:r w:rsidRPr="00AC18A4">
        <w:rPr>
          <w:lang w:val="de-DE"/>
        </w:rPr>
        <w:t xml:space="preserve"> Abs. 2 AHVG.</w:t>
      </w:r>
    </w:p>
  </w:footnote>
  <w:footnote w:id="146">
    <w:p w14:paraId="54D00AF5" w14:textId="30DDE0B4"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 xml:space="preserve">Siehe etwa Urteil </w:t>
      </w:r>
      <w:r>
        <w:rPr>
          <w:lang w:val="de-DE"/>
        </w:rPr>
        <w:t xml:space="preserve">des </w:t>
      </w:r>
      <w:r w:rsidRPr="00AC18A4">
        <w:rPr>
          <w:lang w:val="de-DE"/>
        </w:rPr>
        <w:t>BGer vom 26.01.2007 (</w:t>
      </w:r>
      <w:r w:rsidRPr="00AC18A4">
        <w:t>I 510/06) E. 5 und 6.</w:t>
      </w:r>
    </w:p>
  </w:footnote>
  <w:footnote w:id="147">
    <w:p w14:paraId="35310061" w14:textId="2BFBCC8F" w:rsidR="00457D53" w:rsidRPr="00AC18A4" w:rsidRDefault="00457D53">
      <w:pPr>
        <w:pStyle w:val="Funotentext"/>
        <w:rPr>
          <w:lang w:val="de-DE"/>
        </w:rPr>
      </w:pPr>
      <w:r w:rsidRPr="00AC18A4">
        <w:rPr>
          <w:rStyle w:val="Funotenzeichen"/>
        </w:rPr>
        <w:footnoteRef/>
      </w:r>
      <w:r w:rsidRPr="00AC18A4">
        <w:t xml:space="preserve"> </w:t>
      </w:r>
      <w:r w:rsidRPr="00AC18A4">
        <w:rPr>
          <w:lang w:val="de-DE"/>
        </w:rPr>
        <w:tab/>
        <w:t xml:space="preserve">Vgl. Urteil </w:t>
      </w:r>
      <w:r>
        <w:rPr>
          <w:lang w:val="de-DE"/>
        </w:rPr>
        <w:t xml:space="preserve">des </w:t>
      </w:r>
      <w:r w:rsidRPr="00AC18A4">
        <w:rPr>
          <w:lang w:val="de-DE"/>
        </w:rPr>
        <w:t xml:space="preserve">BGer vom 21.11.2000 </w:t>
      </w:r>
      <w:r w:rsidRPr="00AC18A4">
        <w:t>(I 469/99) E. 4b.</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08F2" w14:textId="2E40B381" w:rsidR="00457D53" w:rsidRDefault="00457D53">
    <w:pPr>
      <w:pStyle w:val="Kopfzeile"/>
      <w:pBdr>
        <w:bottom w:val="none" w:sz="0" w:space="0" w:color="auto"/>
      </w:pBdr>
      <w:jc w:val="right"/>
    </w:pPr>
    <w:r>
      <w:rPr>
        <w:noProof/>
        <w:lang w:val="de-DE"/>
      </w:rPr>
      <w:drawing>
        <wp:anchor distT="0" distB="0" distL="114300" distR="114300" simplePos="0" relativeHeight="251657728" behindDoc="1" locked="0" layoutInCell="1" allowOverlap="1" wp14:anchorId="0B42A872" wp14:editId="1744CB33">
          <wp:simplePos x="0" y="0"/>
          <wp:positionH relativeFrom="column">
            <wp:posOffset>-591185</wp:posOffset>
          </wp:positionH>
          <wp:positionV relativeFrom="paragraph">
            <wp:posOffset>-142240</wp:posOffset>
          </wp:positionV>
          <wp:extent cx="5753100" cy="685800"/>
          <wp:effectExtent l="0" t="0" r="1270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pic:spPr>
              </pic:pic>
            </a:graphicData>
          </a:graphic>
          <wp14:sizeRelH relativeFrom="page">
            <wp14:pctWidth>0</wp14:pctWidth>
          </wp14:sizeRelH>
          <wp14:sizeRelV relativeFrom="page">
            <wp14:pctHeight>0</wp14:pctHeight>
          </wp14:sizeRelV>
        </wp:anchor>
      </w:drawing>
    </w:r>
    <w:r w:rsidRPr="00FF35D0">
      <w:t xml:space="preserve"> Hardy Landolt</w:t>
    </w:r>
  </w:p>
  <w:p w14:paraId="64590FA4" w14:textId="77777777" w:rsidR="00457D53" w:rsidRDefault="00457D53"/>
  <w:p w14:paraId="47B9FDB7" w14:textId="77777777" w:rsidR="00457D53" w:rsidRDefault="00457D5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57B22" w14:textId="13421D0E" w:rsidR="00457D53" w:rsidRDefault="00457D53">
    <w:pPr>
      <w:pStyle w:val="Kopfzeile"/>
      <w:pBdr>
        <w:bottom w:val="none" w:sz="0" w:space="0" w:color="auto"/>
      </w:pBdr>
    </w:pPr>
    <w:r>
      <w:rPr>
        <w:noProof/>
        <w:lang w:val="de-DE"/>
      </w:rPr>
      <w:drawing>
        <wp:anchor distT="0" distB="0" distL="114300" distR="114300" simplePos="0" relativeHeight="251656704" behindDoc="1" locked="0" layoutInCell="1" allowOverlap="1" wp14:anchorId="45341654" wp14:editId="7A497432">
          <wp:simplePos x="0" y="0"/>
          <wp:positionH relativeFrom="column">
            <wp:posOffset>-861695</wp:posOffset>
          </wp:positionH>
          <wp:positionV relativeFrom="paragraph">
            <wp:posOffset>-103505</wp:posOffset>
          </wp:positionV>
          <wp:extent cx="5572125" cy="657225"/>
          <wp:effectExtent l="0" t="0" r="0" b="317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657225"/>
                  </a:xfrm>
                  <a:prstGeom prst="rect">
                    <a:avLst/>
                  </a:prstGeom>
                  <a:noFill/>
                </pic:spPr>
              </pic:pic>
            </a:graphicData>
          </a:graphic>
          <wp14:sizeRelH relativeFrom="page">
            <wp14:pctWidth>0</wp14:pctWidth>
          </wp14:sizeRelH>
          <wp14:sizeRelV relativeFrom="page">
            <wp14:pctHeight>0</wp14:pctHeight>
          </wp14:sizeRelV>
        </wp:anchor>
      </w:drawing>
    </w:r>
    <w:r w:rsidRPr="00FF35D0">
      <w:rPr>
        <w:rFonts w:ascii="Times New Roman" w:hAnsi="Times New Roman"/>
        <w:kern w:val="0"/>
        <w:sz w:val="24"/>
      </w:rPr>
      <w:t xml:space="preserve"> </w:t>
    </w:r>
    <w:r w:rsidRPr="00FF35D0">
      <w:t>Kinder als Täter und Opfer</w:t>
    </w:r>
  </w:p>
  <w:p w14:paraId="79E1B4F8" w14:textId="77777777" w:rsidR="00457D53" w:rsidRDefault="00457D53"/>
  <w:p w14:paraId="62E88454" w14:textId="77777777" w:rsidR="00457D53" w:rsidRDefault="00457D5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75EF0" w14:textId="77777777" w:rsidR="00457D53" w:rsidRDefault="00457D53">
    <w:pPr>
      <w:pStyle w:val="Kopfzeile"/>
      <w:pBdr>
        <w:bottom w:val="none" w:sz="0" w:space="0" w:color="auto"/>
      </w:pBdr>
    </w:pPr>
    <w:r>
      <w:rPr>
        <w:noProof/>
        <w:lang w:val="de-DE"/>
      </w:rPr>
      <w:drawing>
        <wp:anchor distT="0" distB="0" distL="114300" distR="114300" simplePos="0" relativeHeight="251658752" behindDoc="1" locked="0" layoutInCell="1" allowOverlap="1" wp14:anchorId="6EFBA0A4" wp14:editId="464EA4CB">
          <wp:simplePos x="0" y="0"/>
          <wp:positionH relativeFrom="column">
            <wp:posOffset>-920115</wp:posOffset>
          </wp:positionH>
          <wp:positionV relativeFrom="paragraph">
            <wp:posOffset>-99060</wp:posOffset>
          </wp:positionV>
          <wp:extent cx="5605145" cy="661035"/>
          <wp:effectExtent l="0" t="0" r="825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5145" cy="661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306"/>
    <w:multiLevelType w:val="hybridMultilevel"/>
    <w:tmpl w:val="6B4A8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F4256B"/>
    <w:multiLevelType w:val="hybridMultilevel"/>
    <w:tmpl w:val="7C94CB58"/>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B369DF"/>
    <w:multiLevelType w:val="hybridMultilevel"/>
    <w:tmpl w:val="A156E778"/>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5363AC"/>
    <w:multiLevelType w:val="hybridMultilevel"/>
    <w:tmpl w:val="35A2E8F2"/>
    <w:lvl w:ilvl="0" w:tplc="5BA2B4F6">
      <w:start w:val="1"/>
      <w:numFmt w:val="bullet"/>
      <w:lvlText w:val="-"/>
      <w:lvlJc w:val="left"/>
      <w:pPr>
        <w:tabs>
          <w:tab w:val="num" w:pos="720"/>
        </w:tabs>
        <w:ind w:left="72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51712E8"/>
    <w:multiLevelType w:val="hybridMultilevel"/>
    <w:tmpl w:val="15BE5FE2"/>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C21012"/>
    <w:multiLevelType w:val="hybridMultilevel"/>
    <w:tmpl w:val="8E00FAB8"/>
    <w:lvl w:ilvl="0" w:tplc="B9FC7BA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0B5A1C"/>
    <w:multiLevelType w:val="hybridMultilevel"/>
    <w:tmpl w:val="662C0264"/>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E85ECB"/>
    <w:multiLevelType w:val="hybridMultilevel"/>
    <w:tmpl w:val="9D2AF876"/>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0A3AFE"/>
    <w:multiLevelType w:val="hybridMultilevel"/>
    <w:tmpl w:val="A28C5708"/>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BE7515"/>
    <w:multiLevelType w:val="hybridMultilevel"/>
    <w:tmpl w:val="DD6E83B0"/>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C22412"/>
    <w:multiLevelType w:val="hybridMultilevel"/>
    <w:tmpl w:val="10DC0E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EF4AC8"/>
    <w:multiLevelType w:val="hybridMultilevel"/>
    <w:tmpl w:val="CA86FA42"/>
    <w:lvl w:ilvl="0" w:tplc="5BA2B4F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FA12A99"/>
    <w:multiLevelType w:val="hybridMultilevel"/>
    <w:tmpl w:val="E392F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28741E"/>
    <w:multiLevelType w:val="multilevel"/>
    <w:tmpl w:val="431ABED0"/>
    <w:lvl w:ilvl="0">
      <w:start w:val="1"/>
      <w:numFmt w:val="upperRoman"/>
      <w:pStyle w:val="berschrift1"/>
      <w:lvlText w:val="%1."/>
      <w:lvlJc w:val="left"/>
      <w:pPr>
        <w:tabs>
          <w:tab w:val="num" w:pos="567"/>
        </w:tabs>
        <w:ind w:left="567" w:hanging="567"/>
      </w:pPr>
      <w:rPr>
        <w:rFonts w:cs="Times New Roman" w:hint="default"/>
      </w:rPr>
    </w:lvl>
    <w:lvl w:ilvl="1">
      <w:start w:val="1"/>
      <w:numFmt w:val="upperLetter"/>
      <w:pStyle w:val="berschrift2"/>
      <w:lvlText w:val="%2."/>
      <w:lvlJc w:val="left"/>
      <w:pPr>
        <w:tabs>
          <w:tab w:val="num" w:pos="567"/>
        </w:tabs>
        <w:ind w:left="567" w:hanging="567"/>
      </w:pPr>
      <w:rPr>
        <w:rFonts w:cs="Times New Roman" w:hint="default"/>
      </w:rPr>
    </w:lvl>
    <w:lvl w:ilvl="2">
      <w:start w:val="1"/>
      <w:numFmt w:val="decimal"/>
      <w:pStyle w:val="berschrift3"/>
      <w:lvlText w:val="%3."/>
      <w:lvlJc w:val="left"/>
      <w:pPr>
        <w:tabs>
          <w:tab w:val="num" w:pos="567"/>
        </w:tabs>
        <w:ind w:left="567" w:hanging="567"/>
      </w:pPr>
      <w:rPr>
        <w:rFonts w:cs="Times New Roman" w:hint="default"/>
      </w:rPr>
    </w:lvl>
    <w:lvl w:ilvl="3">
      <w:start w:val="1"/>
      <w:numFmt w:val="lowerLetter"/>
      <w:pStyle w:val="berschrift4"/>
      <w:lvlText w:val="%4)"/>
      <w:lvlJc w:val="left"/>
      <w:pPr>
        <w:tabs>
          <w:tab w:val="num" w:pos="567"/>
        </w:tabs>
        <w:ind w:left="567" w:hanging="567"/>
      </w:pPr>
      <w:rPr>
        <w:rFonts w:cs="Times New Roman" w:hint="default"/>
      </w:rPr>
    </w:lvl>
    <w:lvl w:ilvl="4">
      <w:start w:val="1"/>
      <w:numFmt w:val="decimal"/>
      <w:pStyle w:val="berschrift5"/>
      <w:lvlText w:val="(%5)"/>
      <w:lvlJc w:val="left"/>
      <w:pPr>
        <w:tabs>
          <w:tab w:val="num" w:pos="567"/>
        </w:tabs>
        <w:ind w:left="567" w:hanging="567"/>
      </w:pPr>
      <w:rPr>
        <w:rFonts w:cs="Times New Roman" w:hint="default"/>
      </w:rPr>
    </w:lvl>
    <w:lvl w:ilvl="5">
      <w:start w:val="1"/>
      <w:numFmt w:val="lowerLetter"/>
      <w:pStyle w:val="berschrift6"/>
      <w:lvlText w:val="(%6)"/>
      <w:lvlJc w:val="left"/>
      <w:pPr>
        <w:tabs>
          <w:tab w:val="num" w:pos="567"/>
        </w:tabs>
        <w:ind w:left="567" w:hanging="567"/>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6B781B25"/>
    <w:multiLevelType w:val="hybridMultilevel"/>
    <w:tmpl w:val="0CE04D56"/>
    <w:lvl w:ilvl="0" w:tplc="9CAE4C62">
      <w:start w:val="1"/>
      <w:numFmt w:val="bullet"/>
      <w:pStyle w:val="GrundtextAufzhlung"/>
      <w:lvlText w:val="-"/>
      <w:lvlJc w:val="left"/>
      <w:pPr>
        <w:tabs>
          <w:tab w:val="num" w:pos="720"/>
        </w:tabs>
        <w:ind w:left="72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E185903"/>
    <w:multiLevelType w:val="multilevel"/>
    <w:tmpl w:val="1A3E112C"/>
    <w:lvl w:ilvl="0">
      <w:start w:val="1"/>
      <w:numFmt w:val="upperRoman"/>
      <w:pStyle w:val="berschrift1"/>
      <w:lvlText w:val="%1."/>
      <w:lvlJc w:val="left"/>
      <w:pPr>
        <w:ind w:left="0" w:firstLine="0"/>
      </w:pPr>
      <w:rPr>
        <w:rFonts w:hint="default"/>
      </w:rPr>
    </w:lvl>
    <w:lvl w:ilvl="1">
      <w:start w:val="1"/>
      <w:numFmt w:val="upperLetter"/>
      <w:pStyle w:val="berschrift2"/>
      <w:lvlText w:val="%2."/>
      <w:lvlJc w:val="left"/>
      <w:pPr>
        <w:ind w:left="720" w:firstLine="0"/>
      </w:pPr>
      <w:rPr>
        <w:rFonts w:hint="default"/>
      </w:rPr>
    </w:lvl>
    <w:lvl w:ilvl="2">
      <w:start w:val="1"/>
      <w:numFmt w:val="decimal"/>
      <w:pStyle w:val="berschrift3"/>
      <w:lvlText w:val="%3."/>
      <w:lvlJc w:val="left"/>
      <w:pPr>
        <w:ind w:left="1440" w:firstLine="0"/>
      </w:pPr>
      <w:rPr>
        <w:rFonts w:hint="default"/>
      </w:rPr>
    </w:lvl>
    <w:lvl w:ilvl="3">
      <w:start w:val="1"/>
      <w:numFmt w:val="lowerLetter"/>
      <w:pStyle w:val="berschrift4"/>
      <w:lvlText w:val="%4)"/>
      <w:lvlJc w:val="left"/>
      <w:pPr>
        <w:ind w:left="2160" w:firstLine="0"/>
      </w:pPr>
      <w:rPr>
        <w:rFonts w:hint="default"/>
      </w:rPr>
    </w:lvl>
    <w:lvl w:ilvl="4">
      <w:start w:val="1"/>
      <w:numFmt w:val="decimal"/>
      <w:pStyle w:val="berschrift5"/>
      <w:lvlText w:val="(%5)"/>
      <w:lvlJc w:val="left"/>
      <w:pPr>
        <w:ind w:left="2880" w:firstLine="0"/>
      </w:pPr>
      <w:rPr>
        <w:rFonts w:hint="default"/>
      </w:rPr>
    </w:lvl>
    <w:lvl w:ilvl="5">
      <w:start w:val="1"/>
      <w:numFmt w:val="lowerLetter"/>
      <w:pStyle w:val="berschrift6"/>
      <w:lvlText w:val="(%6)"/>
      <w:lvlJc w:val="left"/>
      <w:pPr>
        <w:ind w:left="3600" w:firstLine="0"/>
      </w:pPr>
      <w:rPr>
        <w:rFonts w:hint="default"/>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16">
    <w:nsid w:val="6F402C8B"/>
    <w:multiLevelType w:val="hybridMultilevel"/>
    <w:tmpl w:val="115C3290"/>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9FC0ABF"/>
    <w:multiLevelType w:val="hybridMultilevel"/>
    <w:tmpl w:val="C5F0FEEE"/>
    <w:lvl w:ilvl="0" w:tplc="5BA2B4F6">
      <w:start w:val="1"/>
      <w:numFmt w:val="bullet"/>
      <w:lvlText w:val="-"/>
      <w:lvlJc w:val="left"/>
      <w:pPr>
        <w:tabs>
          <w:tab w:val="num" w:pos="720"/>
        </w:tabs>
        <w:ind w:left="72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CE1079F"/>
    <w:multiLevelType w:val="hybridMultilevel"/>
    <w:tmpl w:val="2B12C3FE"/>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3"/>
  </w:num>
  <w:num w:numId="5">
    <w:abstractNumId w:val="14"/>
  </w:num>
  <w:num w:numId="6">
    <w:abstractNumId w:val="13"/>
  </w:num>
  <w:num w:numId="7">
    <w:abstractNumId w:val="13"/>
  </w:num>
  <w:num w:numId="8">
    <w:abstractNumId w:val="15"/>
  </w:num>
  <w:num w:numId="9">
    <w:abstractNumId w:val="5"/>
  </w:num>
  <w:num w:numId="10">
    <w:abstractNumId w:val="7"/>
  </w:num>
  <w:num w:numId="11">
    <w:abstractNumId w:val="6"/>
  </w:num>
  <w:num w:numId="12">
    <w:abstractNumId w:val="18"/>
  </w:num>
  <w:num w:numId="13">
    <w:abstractNumId w:val="4"/>
  </w:num>
  <w:num w:numId="14">
    <w:abstractNumId w:val="9"/>
  </w:num>
  <w:num w:numId="15">
    <w:abstractNumId w:val="16"/>
  </w:num>
  <w:num w:numId="16">
    <w:abstractNumId w:val="8"/>
  </w:num>
  <w:num w:numId="17">
    <w:abstractNumId w:val="2"/>
  </w:num>
  <w:num w:numId="18">
    <w:abstractNumId w:val="10"/>
  </w:num>
  <w:num w:numId="19">
    <w:abstractNumId w:val="0"/>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consecutiveHyphenLimit w:val="3"/>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ZH Kommentar&lt;/Style&gt;&lt;LeftDelim&gt;{&lt;/LeftDelim&gt;&lt;RightDelim&gt;}&lt;/RightDelim&gt;&lt;FontName&gt;Abadi MT Condensed Extra Bold&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2szp929xt9anersx5peeazvdfx9p5a52ps&quot;&gt;Kind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record-ids&gt;&lt;/item&gt;&lt;/Libraries&gt;"/>
  </w:docVars>
  <w:rsids>
    <w:rsidRoot w:val="005458EC"/>
    <w:rsid w:val="000026C0"/>
    <w:rsid w:val="00010A3C"/>
    <w:rsid w:val="00032D48"/>
    <w:rsid w:val="00036587"/>
    <w:rsid w:val="00046EEE"/>
    <w:rsid w:val="000552DB"/>
    <w:rsid w:val="000648A2"/>
    <w:rsid w:val="00066E9A"/>
    <w:rsid w:val="000858F5"/>
    <w:rsid w:val="00087E1C"/>
    <w:rsid w:val="0009258C"/>
    <w:rsid w:val="000B036B"/>
    <w:rsid w:val="000B369B"/>
    <w:rsid w:val="000B4417"/>
    <w:rsid w:val="000B53DB"/>
    <w:rsid w:val="000B5C4B"/>
    <w:rsid w:val="000D5A58"/>
    <w:rsid w:val="000E2082"/>
    <w:rsid w:val="000E3BEA"/>
    <w:rsid w:val="000F0793"/>
    <w:rsid w:val="000F7FF8"/>
    <w:rsid w:val="00102A18"/>
    <w:rsid w:val="00104E28"/>
    <w:rsid w:val="00111195"/>
    <w:rsid w:val="0011563E"/>
    <w:rsid w:val="00132112"/>
    <w:rsid w:val="001357E2"/>
    <w:rsid w:val="0013685C"/>
    <w:rsid w:val="00143E91"/>
    <w:rsid w:val="00143F77"/>
    <w:rsid w:val="0015771A"/>
    <w:rsid w:val="001906EB"/>
    <w:rsid w:val="00197690"/>
    <w:rsid w:val="001B4B17"/>
    <w:rsid w:val="001C6C96"/>
    <w:rsid w:val="001D4B65"/>
    <w:rsid w:val="001E5A7D"/>
    <w:rsid w:val="001E686A"/>
    <w:rsid w:val="001E736F"/>
    <w:rsid w:val="001F2CEC"/>
    <w:rsid w:val="00207A3E"/>
    <w:rsid w:val="00231175"/>
    <w:rsid w:val="002607E4"/>
    <w:rsid w:val="002609FB"/>
    <w:rsid w:val="00262A7C"/>
    <w:rsid w:val="00277B4F"/>
    <w:rsid w:val="00287E6A"/>
    <w:rsid w:val="00295A08"/>
    <w:rsid w:val="002A72AE"/>
    <w:rsid w:val="002C367C"/>
    <w:rsid w:val="002E115A"/>
    <w:rsid w:val="00317CD6"/>
    <w:rsid w:val="00356E89"/>
    <w:rsid w:val="00373DCB"/>
    <w:rsid w:val="0037708E"/>
    <w:rsid w:val="00391B69"/>
    <w:rsid w:val="00391C2E"/>
    <w:rsid w:val="003B7B6E"/>
    <w:rsid w:val="003C6AF9"/>
    <w:rsid w:val="003D2EFA"/>
    <w:rsid w:val="003D7E4B"/>
    <w:rsid w:val="003F2839"/>
    <w:rsid w:val="003F7802"/>
    <w:rsid w:val="00400C13"/>
    <w:rsid w:val="00400D52"/>
    <w:rsid w:val="00421343"/>
    <w:rsid w:val="00426539"/>
    <w:rsid w:val="00446E90"/>
    <w:rsid w:val="00457D53"/>
    <w:rsid w:val="00461EF5"/>
    <w:rsid w:val="00477731"/>
    <w:rsid w:val="00485992"/>
    <w:rsid w:val="00487C8A"/>
    <w:rsid w:val="004A200D"/>
    <w:rsid w:val="004B4A08"/>
    <w:rsid w:val="004D51E0"/>
    <w:rsid w:val="004E72AC"/>
    <w:rsid w:val="004F58DB"/>
    <w:rsid w:val="004F5D3A"/>
    <w:rsid w:val="00502E00"/>
    <w:rsid w:val="00504DC6"/>
    <w:rsid w:val="0053040D"/>
    <w:rsid w:val="005458EC"/>
    <w:rsid w:val="005836D3"/>
    <w:rsid w:val="00587046"/>
    <w:rsid w:val="00592535"/>
    <w:rsid w:val="005A7152"/>
    <w:rsid w:val="005B7748"/>
    <w:rsid w:val="005C124E"/>
    <w:rsid w:val="006076F0"/>
    <w:rsid w:val="00610E72"/>
    <w:rsid w:val="00615536"/>
    <w:rsid w:val="00623856"/>
    <w:rsid w:val="00646033"/>
    <w:rsid w:val="00653009"/>
    <w:rsid w:val="006531E7"/>
    <w:rsid w:val="00666320"/>
    <w:rsid w:val="00666731"/>
    <w:rsid w:val="0067303C"/>
    <w:rsid w:val="00682EE7"/>
    <w:rsid w:val="00682F24"/>
    <w:rsid w:val="006B2132"/>
    <w:rsid w:val="006C0051"/>
    <w:rsid w:val="006C76C4"/>
    <w:rsid w:val="006E27C0"/>
    <w:rsid w:val="007076D2"/>
    <w:rsid w:val="00715A71"/>
    <w:rsid w:val="00720B1A"/>
    <w:rsid w:val="00730077"/>
    <w:rsid w:val="00731326"/>
    <w:rsid w:val="0073293F"/>
    <w:rsid w:val="00735D2D"/>
    <w:rsid w:val="00747A74"/>
    <w:rsid w:val="00760846"/>
    <w:rsid w:val="00767A7B"/>
    <w:rsid w:val="00776496"/>
    <w:rsid w:val="0079244F"/>
    <w:rsid w:val="007A77F7"/>
    <w:rsid w:val="007D14B5"/>
    <w:rsid w:val="007F09A2"/>
    <w:rsid w:val="00804553"/>
    <w:rsid w:val="00823EB0"/>
    <w:rsid w:val="00864650"/>
    <w:rsid w:val="00870CE5"/>
    <w:rsid w:val="008876D6"/>
    <w:rsid w:val="008B2F82"/>
    <w:rsid w:val="008C2C1E"/>
    <w:rsid w:val="008D65E1"/>
    <w:rsid w:val="008F065A"/>
    <w:rsid w:val="008F23A0"/>
    <w:rsid w:val="00902355"/>
    <w:rsid w:val="00904C21"/>
    <w:rsid w:val="00927410"/>
    <w:rsid w:val="00933A83"/>
    <w:rsid w:val="00935D1A"/>
    <w:rsid w:val="00942544"/>
    <w:rsid w:val="00954957"/>
    <w:rsid w:val="00974945"/>
    <w:rsid w:val="009843A5"/>
    <w:rsid w:val="00993EAE"/>
    <w:rsid w:val="009B0C97"/>
    <w:rsid w:val="009B75A1"/>
    <w:rsid w:val="009F60FF"/>
    <w:rsid w:val="00A1788A"/>
    <w:rsid w:val="00A2046B"/>
    <w:rsid w:val="00A43FDF"/>
    <w:rsid w:val="00A64BCF"/>
    <w:rsid w:val="00A70F31"/>
    <w:rsid w:val="00A80749"/>
    <w:rsid w:val="00A959F8"/>
    <w:rsid w:val="00AB50D6"/>
    <w:rsid w:val="00AC18A4"/>
    <w:rsid w:val="00AE3169"/>
    <w:rsid w:val="00AE3467"/>
    <w:rsid w:val="00B13EF0"/>
    <w:rsid w:val="00B2356B"/>
    <w:rsid w:val="00B24114"/>
    <w:rsid w:val="00B25AFF"/>
    <w:rsid w:val="00B36A4A"/>
    <w:rsid w:val="00B47931"/>
    <w:rsid w:val="00B515BC"/>
    <w:rsid w:val="00B535A0"/>
    <w:rsid w:val="00B561AC"/>
    <w:rsid w:val="00B70DC0"/>
    <w:rsid w:val="00B757BA"/>
    <w:rsid w:val="00B810F9"/>
    <w:rsid w:val="00B92374"/>
    <w:rsid w:val="00BA0D4C"/>
    <w:rsid w:val="00BD0CC2"/>
    <w:rsid w:val="00BD1AA7"/>
    <w:rsid w:val="00BD1CCB"/>
    <w:rsid w:val="00BE5385"/>
    <w:rsid w:val="00BF4E67"/>
    <w:rsid w:val="00BF578A"/>
    <w:rsid w:val="00C30C1B"/>
    <w:rsid w:val="00C36817"/>
    <w:rsid w:val="00C4551D"/>
    <w:rsid w:val="00C47D9E"/>
    <w:rsid w:val="00C47EFE"/>
    <w:rsid w:val="00C702B5"/>
    <w:rsid w:val="00C70C2A"/>
    <w:rsid w:val="00C96C6F"/>
    <w:rsid w:val="00CC3B64"/>
    <w:rsid w:val="00CD6254"/>
    <w:rsid w:val="00CE182D"/>
    <w:rsid w:val="00CF6EAA"/>
    <w:rsid w:val="00D01571"/>
    <w:rsid w:val="00D1706F"/>
    <w:rsid w:val="00D2483E"/>
    <w:rsid w:val="00D25B4D"/>
    <w:rsid w:val="00D31E36"/>
    <w:rsid w:val="00D32ABB"/>
    <w:rsid w:val="00D435D3"/>
    <w:rsid w:val="00D44D62"/>
    <w:rsid w:val="00D5273D"/>
    <w:rsid w:val="00D85C5F"/>
    <w:rsid w:val="00DA03C9"/>
    <w:rsid w:val="00DC34E4"/>
    <w:rsid w:val="00DD7E64"/>
    <w:rsid w:val="00DE0C91"/>
    <w:rsid w:val="00DF2E01"/>
    <w:rsid w:val="00DF5A2B"/>
    <w:rsid w:val="00E31F59"/>
    <w:rsid w:val="00E40385"/>
    <w:rsid w:val="00E540F2"/>
    <w:rsid w:val="00E57BC0"/>
    <w:rsid w:val="00E7046D"/>
    <w:rsid w:val="00E857D2"/>
    <w:rsid w:val="00E87940"/>
    <w:rsid w:val="00E931A5"/>
    <w:rsid w:val="00E96A2E"/>
    <w:rsid w:val="00EA5A58"/>
    <w:rsid w:val="00ED225C"/>
    <w:rsid w:val="00ED3899"/>
    <w:rsid w:val="00ED516F"/>
    <w:rsid w:val="00EF3F19"/>
    <w:rsid w:val="00F40945"/>
    <w:rsid w:val="00F565FB"/>
    <w:rsid w:val="00F83EC5"/>
    <w:rsid w:val="00FA15AB"/>
    <w:rsid w:val="00FB1D5F"/>
    <w:rsid w:val="00FD0345"/>
    <w:rsid w:val="00FE042B"/>
    <w:rsid w:val="00FE08D8"/>
    <w:rsid w:val="00FF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B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sz w:val="24"/>
      <w:szCs w:val="20"/>
      <w:lang w:val="de-CH" w:eastAsia="de-DE"/>
    </w:rPr>
  </w:style>
  <w:style w:type="paragraph" w:styleId="berschrift1">
    <w:name w:val="heading 1"/>
    <w:basedOn w:val="Titel"/>
    <w:next w:val="Grundtext"/>
    <w:link w:val="berschrift1Zeichen"/>
    <w:uiPriority w:val="9"/>
    <w:qFormat/>
    <w:pPr>
      <w:keepNext/>
      <w:numPr>
        <w:numId w:val="1"/>
      </w:numPr>
      <w:suppressAutoHyphens/>
      <w:spacing w:before="520" w:after="260" w:line="320" w:lineRule="exact"/>
      <w:outlineLvl w:val="0"/>
    </w:pPr>
    <w:rPr>
      <w:b/>
      <w:sz w:val="28"/>
    </w:rPr>
  </w:style>
  <w:style w:type="paragraph" w:styleId="berschrift2">
    <w:name w:val="heading 2"/>
    <w:basedOn w:val="berschrift1"/>
    <w:next w:val="Grundtext"/>
    <w:link w:val="berschrift2Zeichen"/>
    <w:uiPriority w:val="9"/>
    <w:qFormat/>
    <w:pPr>
      <w:keepLines/>
      <w:numPr>
        <w:ilvl w:val="1"/>
      </w:numPr>
      <w:spacing w:before="400" w:after="200" w:line="260" w:lineRule="exact"/>
      <w:outlineLvl w:val="1"/>
    </w:pPr>
    <w:rPr>
      <w:kern w:val="24"/>
      <w:sz w:val="24"/>
    </w:rPr>
  </w:style>
  <w:style w:type="paragraph" w:styleId="berschrift3">
    <w:name w:val="heading 3"/>
    <w:basedOn w:val="berschrift2"/>
    <w:next w:val="Grundtext"/>
    <w:link w:val="berschrift3Zeichen"/>
    <w:uiPriority w:val="9"/>
    <w:qFormat/>
    <w:pPr>
      <w:numPr>
        <w:ilvl w:val="2"/>
      </w:numPr>
      <w:spacing w:before="200" w:after="120"/>
      <w:outlineLvl w:val="2"/>
    </w:pPr>
    <w:rPr>
      <w:sz w:val="20"/>
    </w:rPr>
  </w:style>
  <w:style w:type="paragraph" w:styleId="berschrift4">
    <w:name w:val="heading 4"/>
    <w:basedOn w:val="berschrift3"/>
    <w:next w:val="Grundtext"/>
    <w:link w:val="berschrift4Zeichen"/>
    <w:uiPriority w:val="9"/>
    <w:qFormat/>
    <w:pPr>
      <w:numPr>
        <w:ilvl w:val="3"/>
      </w:numPr>
      <w:spacing w:before="120" w:after="100"/>
      <w:outlineLvl w:val="3"/>
    </w:pPr>
    <w:rPr>
      <w:i/>
      <w:spacing w:val="-1"/>
    </w:rPr>
  </w:style>
  <w:style w:type="paragraph" w:styleId="berschrift5">
    <w:name w:val="heading 5"/>
    <w:basedOn w:val="berschrift4"/>
    <w:next w:val="Grundtext"/>
    <w:link w:val="berschrift5Zeichen"/>
    <w:uiPriority w:val="9"/>
    <w:qFormat/>
    <w:pPr>
      <w:numPr>
        <w:ilvl w:val="4"/>
      </w:numPr>
      <w:outlineLvl w:val="4"/>
    </w:pPr>
    <w:rPr>
      <w:b w:val="0"/>
      <w:i w:val="0"/>
      <w:kern w:val="21"/>
    </w:rPr>
  </w:style>
  <w:style w:type="paragraph" w:styleId="berschrift6">
    <w:name w:val="heading 6"/>
    <w:basedOn w:val="berschrift5"/>
    <w:next w:val="Grundtext"/>
    <w:link w:val="berschrift6Zeichen"/>
    <w:uiPriority w:val="9"/>
    <w:qFormat/>
    <w:pPr>
      <w:numPr>
        <w:ilvl w:val="5"/>
      </w:numPr>
      <w:outlineLvl w:val="5"/>
    </w:pPr>
    <w:rPr>
      <w:i/>
    </w:rPr>
  </w:style>
  <w:style w:type="paragraph" w:styleId="berschrift7">
    <w:name w:val="heading 7"/>
    <w:basedOn w:val="Standard"/>
    <w:next w:val="Standard"/>
    <w:link w:val="berschrift7Zeichen"/>
    <w:uiPriority w:val="9"/>
    <w:unhideWhenUsed/>
    <w:qFormat/>
    <w:locked/>
    <w:rsid w:val="001906EB"/>
    <w:pPr>
      <w:keepNext/>
      <w:keepLines/>
      <w:widowControl/>
      <w:spacing w:before="200" w:line="360" w:lineRule="auto"/>
      <w:ind w:left="4320"/>
      <w:jc w:val="both"/>
      <w:outlineLvl w:val="6"/>
    </w:pPr>
    <w:rPr>
      <w:rFonts w:ascii="Optima" w:eastAsia="ＭＳ ゴシック" w:hAnsi="Optima"/>
      <w:iCs/>
      <w:sz w:val="26"/>
      <w:szCs w:val="24"/>
      <w:lang w:val="de-DE" w:eastAsia="ja-JP"/>
    </w:rPr>
  </w:style>
  <w:style w:type="paragraph" w:styleId="berschrift8">
    <w:name w:val="heading 8"/>
    <w:basedOn w:val="Standard"/>
    <w:next w:val="Standard"/>
    <w:link w:val="berschrift8Zeichen"/>
    <w:uiPriority w:val="9"/>
    <w:unhideWhenUsed/>
    <w:qFormat/>
    <w:locked/>
    <w:rsid w:val="001906EB"/>
    <w:pPr>
      <w:keepNext/>
      <w:keepLines/>
      <w:widowControl/>
      <w:spacing w:before="200" w:line="360" w:lineRule="auto"/>
      <w:ind w:left="5040"/>
      <w:jc w:val="both"/>
      <w:outlineLvl w:val="7"/>
    </w:pPr>
    <w:rPr>
      <w:rFonts w:ascii="Optima" w:eastAsia="ＭＳ ゴシック" w:hAnsi="Optima"/>
      <w:color w:val="404040"/>
      <w:sz w:val="26"/>
      <w:lang w:val="de-DE" w:eastAsia="ja-JP"/>
    </w:rPr>
  </w:style>
  <w:style w:type="paragraph" w:styleId="berschrift9">
    <w:name w:val="heading 9"/>
    <w:basedOn w:val="Standard"/>
    <w:next w:val="Standard"/>
    <w:link w:val="berschrift9Zeichen"/>
    <w:uiPriority w:val="9"/>
    <w:semiHidden/>
    <w:unhideWhenUsed/>
    <w:qFormat/>
    <w:locked/>
    <w:rsid w:val="001906EB"/>
    <w:pPr>
      <w:keepNext/>
      <w:keepLines/>
      <w:widowControl/>
      <w:spacing w:before="200" w:line="360" w:lineRule="auto"/>
      <w:ind w:left="5760"/>
      <w:jc w:val="both"/>
      <w:outlineLvl w:val="8"/>
    </w:pPr>
    <w:rPr>
      <w:rFonts w:ascii="Calibri" w:eastAsia="ＭＳ ゴシック" w:hAnsi="Calibri"/>
      <w:i/>
      <w:iCs/>
      <w:color w:val="404040"/>
      <w:sz w:val="20"/>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Helvetica-Narrow" w:hAnsi="Helvetica-Narrow" w:cs="Times New Roman"/>
      <w:b/>
      <w:kern w:val="28"/>
      <w:sz w:val="28"/>
      <w:lang w:val="de-CH" w:eastAsia="de-DE" w:bidi="ar-SA"/>
    </w:rPr>
  </w:style>
  <w:style w:type="character" w:customStyle="1" w:styleId="berschrift2Zeichen">
    <w:name w:val="Überschrift 2 Zeichen"/>
    <w:basedOn w:val="Absatzstandardschriftart"/>
    <w:link w:val="berschrift2"/>
    <w:uiPriority w:val="99"/>
    <w:semiHidden/>
    <w:locked/>
    <w:rPr>
      <w:rFonts w:ascii="Cambria" w:hAnsi="Cambria" w:cs="Times New Roman"/>
      <w:b/>
      <w:bCs/>
      <w:i/>
      <w:iCs/>
      <w:sz w:val="28"/>
      <w:szCs w:val="28"/>
      <w:lang w:val="de-CH" w:eastAsia="de-DE"/>
    </w:rPr>
  </w:style>
  <w:style w:type="character" w:customStyle="1" w:styleId="berschrift3Zeichen">
    <w:name w:val="Überschrift 3 Zeichen"/>
    <w:basedOn w:val="Absatzstandardschriftart"/>
    <w:link w:val="berschrift3"/>
    <w:uiPriority w:val="99"/>
    <w:semiHidden/>
    <w:locked/>
    <w:rPr>
      <w:rFonts w:ascii="Cambria" w:hAnsi="Cambria" w:cs="Times New Roman"/>
      <w:b/>
      <w:bCs/>
      <w:sz w:val="26"/>
      <w:szCs w:val="26"/>
      <w:lang w:val="de-CH" w:eastAsia="de-DE"/>
    </w:rPr>
  </w:style>
  <w:style w:type="character" w:customStyle="1" w:styleId="berschrift4Zeichen">
    <w:name w:val="Überschrift 4 Zeichen"/>
    <w:basedOn w:val="Absatzstandardschriftart"/>
    <w:link w:val="berschrift4"/>
    <w:uiPriority w:val="99"/>
    <w:semiHidden/>
    <w:locked/>
    <w:rPr>
      <w:rFonts w:ascii="Calibri" w:hAnsi="Calibri" w:cs="Times New Roman"/>
      <w:b/>
      <w:bCs/>
      <w:sz w:val="28"/>
      <w:szCs w:val="28"/>
      <w:lang w:val="de-CH" w:eastAsia="de-DE"/>
    </w:rPr>
  </w:style>
  <w:style w:type="character" w:customStyle="1" w:styleId="berschrift5Zeichen">
    <w:name w:val="Überschrift 5 Zeichen"/>
    <w:basedOn w:val="Absatzstandardschriftart"/>
    <w:link w:val="berschrift5"/>
    <w:uiPriority w:val="99"/>
    <w:semiHidden/>
    <w:locked/>
    <w:rPr>
      <w:rFonts w:ascii="Calibri" w:hAnsi="Calibri" w:cs="Times New Roman"/>
      <w:b/>
      <w:bCs/>
      <w:i/>
      <w:iCs/>
      <w:sz w:val="26"/>
      <w:szCs w:val="26"/>
      <w:lang w:val="de-CH" w:eastAsia="de-DE"/>
    </w:rPr>
  </w:style>
  <w:style w:type="character" w:customStyle="1" w:styleId="berschrift6Zeichen">
    <w:name w:val="Überschrift 6 Zeichen"/>
    <w:basedOn w:val="Absatzstandardschriftart"/>
    <w:link w:val="berschrift6"/>
    <w:uiPriority w:val="99"/>
    <w:semiHidden/>
    <w:locked/>
    <w:rPr>
      <w:rFonts w:ascii="Calibri" w:hAnsi="Calibri" w:cs="Times New Roman"/>
      <w:b/>
      <w:bCs/>
      <w:lang w:val="de-CH" w:eastAsia="de-DE"/>
    </w:rPr>
  </w:style>
  <w:style w:type="paragraph" w:styleId="Titel">
    <w:name w:val="Title"/>
    <w:aliases w:val="Titel Beitrag"/>
    <w:basedOn w:val="Standard"/>
    <w:link w:val="TitelZeichen"/>
    <w:uiPriority w:val="99"/>
    <w:qFormat/>
    <w:pPr>
      <w:widowControl/>
      <w:spacing w:after="520" w:line="440" w:lineRule="exact"/>
    </w:pPr>
    <w:rPr>
      <w:rFonts w:ascii="Helvetica-Narrow" w:hAnsi="Helvetica-Narrow"/>
      <w:kern w:val="28"/>
      <w:sz w:val="40"/>
    </w:rPr>
  </w:style>
  <w:style w:type="character" w:customStyle="1" w:styleId="TitelZeichen">
    <w:name w:val="Titel Zeichen"/>
    <w:aliases w:val="Titel Beitrag Zeichen"/>
    <w:basedOn w:val="Absatzstandardschriftart"/>
    <w:link w:val="Titel"/>
    <w:uiPriority w:val="99"/>
    <w:locked/>
    <w:rPr>
      <w:rFonts w:ascii="Cambria" w:hAnsi="Cambria" w:cs="Times New Roman"/>
      <w:b/>
      <w:bCs/>
      <w:kern w:val="28"/>
      <w:sz w:val="32"/>
      <w:szCs w:val="32"/>
      <w:lang w:val="de-CH" w:eastAsia="de-DE"/>
    </w:rPr>
  </w:style>
  <w:style w:type="paragraph" w:customStyle="1" w:styleId="Grundtext">
    <w:name w:val="Grundtext"/>
    <w:basedOn w:val="Standard"/>
    <w:link w:val="GrundtextZchn"/>
    <w:uiPriority w:val="99"/>
    <w:pPr>
      <w:widowControl/>
      <w:spacing w:after="120" w:line="260" w:lineRule="exact"/>
      <w:jc w:val="both"/>
    </w:pPr>
    <w:rPr>
      <w:kern w:val="21"/>
      <w:sz w:val="20"/>
    </w:rPr>
  </w:style>
  <w:style w:type="paragraph" w:styleId="Kopfzeile">
    <w:name w:val="header"/>
    <w:basedOn w:val="Standard"/>
    <w:link w:val="KopfzeileZeichen"/>
    <w:uiPriority w:val="99"/>
    <w:pPr>
      <w:pBdr>
        <w:bottom w:val="single" w:sz="4" w:space="1" w:color="auto"/>
      </w:pBdr>
      <w:spacing w:before="360"/>
    </w:pPr>
    <w:rPr>
      <w:rFonts w:ascii="Helvetica-Narrow" w:hAnsi="Helvetica-Narrow"/>
      <w:kern w:val="21"/>
      <w:sz w:val="28"/>
    </w:rPr>
  </w:style>
  <w:style w:type="character" w:customStyle="1" w:styleId="KopfzeileZeichen">
    <w:name w:val="Kopfzeile Zeichen"/>
    <w:basedOn w:val="Absatzstandardschriftart"/>
    <w:link w:val="Kopfzeile"/>
    <w:uiPriority w:val="99"/>
    <w:semiHidden/>
    <w:locked/>
    <w:rPr>
      <w:rFonts w:cs="Times New Roman"/>
      <w:sz w:val="20"/>
      <w:szCs w:val="20"/>
      <w:lang w:val="de-CH" w:eastAsia="de-DE"/>
    </w:rPr>
  </w:style>
  <w:style w:type="character" w:styleId="Funotenzeichen">
    <w:name w:val="footnote reference"/>
    <w:basedOn w:val="Absatzstandardschriftart"/>
    <w:uiPriority w:val="99"/>
    <w:semiHidden/>
    <w:rPr>
      <w:rFonts w:ascii="Helvetica-Narrow" w:hAnsi="Helvetica-Narrow" w:cs="Times New Roman"/>
      <w:position w:val="-2"/>
      <w:sz w:val="19"/>
      <w:vertAlign w:val="superscript"/>
    </w:rPr>
  </w:style>
  <w:style w:type="character" w:styleId="Seitenzahl">
    <w:name w:val="page number"/>
    <w:basedOn w:val="Absatzstandardschriftart"/>
    <w:uiPriority w:val="99"/>
    <w:rPr>
      <w:rFonts w:ascii="Helvetica-Narrow" w:hAnsi="Helvetica-Narrow" w:cs="Times New Roman"/>
      <w:b/>
      <w:color w:val="808080"/>
      <w:sz w:val="36"/>
    </w:rPr>
  </w:style>
  <w:style w:type="character" w:customStyle="1" w:styleId="GrundtextZchn">
    <w:name w:val="Grundtext Zchn"/>
    <w:basedOn w:val="Absatzstandardschriftart"/>
    <w:link w:val="Grundtext"/>
    <w:uiPriority w:val="99"/>
    <w:locked/>
    <w:rPr>
      <w:rFonts w:cs="Times New Roman"/>
      <w:kern w:val="21"/>
      <w:lang w:val="de-CH" w:eastAsia="de-DE" w:bidi="ar-SA"/>
    </w:rPr>
  </w:style>
  <w:style w:type="paragraph" w:styleId="Verzeichnis1">
    <w:name w:val="toc 1"/>
    <w:basedOn w:val="Grundtext"/>
    <w:next w:val="Verzeichnis2"/>
    <w:uiPriority w:val="39"/>
    <w:pPr>
      <w:tabs>
        <w:tab w:val="left" w:pos="567"/>
        <w:tab w:val="right" w:pos="6521"/>
      </w:tabs>
      <w:spacing w:before="60" w:after="0" w:line="200" w:lineRule="exact"/>
      <w:ind w:left="567" w:right="567" w:hanging="567"/>
      <w:outlineLvl w:val="0"/>
    </w:pPr>
    <w:rPr>
      <w:rFonts w:ascii="Helvetica-Narrow" w:hAnsi="Helvetica-Narrow"/>
      <w:b/>
      <w:noProof/>
      <w:kern w:val="18"/>
      <w:sz w:val="17"/>
    </w:rPr>
  </w:style>
  <w:style w:type="paragraph" w:styleId="Verzeichnis2">
    <w:name w:val="toc 2"/>
    <w:basedOn w:val="Verzeichnis1"/>
    <w:next w:val="Verzeichnis3"/>
    <w:uiPriority w:val="39"/>
    <w:pPr>
      <w:spacing w:before="0"/>
      <w:ind w:left="851" w:hanging="284"/>
      <w:outlineLvl w:val="1"/>
    </w:pPr>
    <w:rPr>
      <w:b w:val="0"/>
    </w:rPr>
  </w:style>
  <w:style w:type="paragraph" w:styleId="Verzeichnis3">
    <w:name w:val="toc 3"/>
    <w:basedOn w:val="Verzeichnis2"/>
    <w:next w:val="Verzeichnis4"/>
    <w:uiPriority w:val="39"/>
    <w:pPr>
      <w:ind w:left="1135"/>
      <w:outlineLvl w:val="2"/>
    </w:pPr>
  </w:style>
  <w:style w:type="paragraph" w:styleId="Verzeichnis4">
    <w:name w:val="toc 4"/>
    <w:basedOn w:val="Verzeichnis3"/>
    <w:next w:val="Verzeichnis5"/>
    <w:uiPriority w:val="39"/>
    <w:pPr>
      <w:tabs>
        <w:tab w:val="left" w:pos="851"/>
      </w:tabs>
      <w:ind w:left="1305"/>
      <w:outlineLvl w:val="3"/>
    </w:pPr>
  </w:style>
  <w:style w:type="paragraph" w:styleId="Verzeichnis5">
    <w:name w:val="toc 5"/>
    <w:basedOn w:val="Verzeichnis4"/>
    <w:next w:val="Verzeichnis6"/>
    <w:uiPriority w:val="99"/>
    <w:semiHidden/>
    <w:pPr>
      <w:tabs>
        <w:tab w:val="left" w:pos="1134"/>
      </w:tabs>
      <w:ind w:left="1588"/>
      <w:jc w:val="left"/>
      <w:outlineLvl w:val="4"/>
    </w:pPr>
  </w:style>
  <w:style w:type="paragraph" w:styleId="Verzeichnis6">
    <w:name w:val="toc 6"/>
    <w:basedOn w:val="Verzeichnis5"/>
    <w:next w:val="Grundtext"/>
    <w:uiPriority w:val="99"/>
    <w:semiHidden/>
    <w:pPr>
      <w:tabs>
        <w:tab w:val="left" w:pos="1418"/>
      </w:tabs>
      <w:ind w:left="1702"/>
      <w:outlineLvl w:val="5"/>
    </w:pPr>
  </w:style>
  <w:style w:type="paragraph" w:customStyle="1" w:styleId="Autor">
    <w:name w:val="Autor"/>
    <w:basedOn w:val="Titel"/>
    <w:uiPriority w:val="99"/>
    <w:pPr>
      <w:spacing w:after="260" w:line="280" w:lineRule="exact"/>
    </w:pPr>
    <w:rPr>
      <w:kern w:val="26"/>
      <w:sz w:val="24"/>
    </w:rPr>
  </w:style>
  <w:style w:type="paragraph" w:styleId="Verzeichnis7">
    <w:name w:val="toc 7"/>
    <w:basedOn w:val="Standard"/>
    <w:next w:val="Standard"/>
    <w:autoRedefine/>
    <w:uiPriority w:val="99"/>
    <w:semiHidden/>
    <w:pPr>
      <w:ind w:left="1440"/>
    </w:p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paragraph" w:styleId="Index1">
    <w:name w:val="index 1"/>
    <w:basedOn w:val="Standard"/>
    <w:next w:val="Standard"/>
    <w:autoRedefine/>
    <w:uiPriority w:val="99"/>
    <w:semiHidden/>
    <w:pPr>
      <w:ind w:left="240" w:hanging="240"/>
    </w:pPr>
  </w:style>
  <w:style w:type="paragraph" w:styleId="Index2">
    <w:name w:val="index 2"/>
    <w:basedOn w:val="Standard"/>
    <w:next w:val="Standard"/>
    <w:autoRedefine/>
    <w:uiPriority w:val="99"/>
    <w:semiHidden/>
    <w:pPr>
      <w:ind w:left="480" w:hanging="240"/>
    </w:pPr>
  </w:style>
  <w:style w:type="paragraph" w:styleId="Index3">
    <w:name w:val="index 3"/>
    <w:basedOn w:val="Standard"/>
    <w:next w:val="Standard"/>
    <w:autoRedefine/>
    <w:uiPriority w:val="99"/>
    <w:semiHidden/>
    <w:pPr>
      <w:ind w:left="720" w:hanging="240"/>
    </w:pPr>
  </w:style>
  <w:style w:type="paragraph" w:styleId="Index4">
    <w:name w:val="index 4"/>
    <w:basedOn w:val="Standard"/>
    <w:next w:val="Standard"/>
    <w:autoRedefine/>
    <w:uiPriority w:val="99"/>
    <w:semiHidden/>
    <w:pPr>
      <w:ind w:left="960" w:hanging="240"/>
    </w:pPr>
  </w:style>
  <w:style w:type="paragraph" w:styleId="Index5">
    <w:name w:val="index 5"/>
    <w:basedOn w:val="Standard"/>
    <w:next w:val="Standard"/>
    <w:autoRedefine/>
    <w:uiPriority w:val="99"/>
    <w:semiHidden/>
    <w:pPr>
      <w:ind w:left="1200" w:hanging="240"/>
    </w:pPr>
  </w:style>
  <w:style w:type="paragraph" w:styleId="Index6">
    <w:name w:val="index 6"/>
    <w:basedOn w:val="Standard"/>
    <w:next w:val="Standard"/>
    <w:autoRedefine/>
    <w:uiPriority w:val="99"/>
    <w:semiHidden/>
    <w:pPr>
      <w:ind w:left="1440" w:hanging="240"/>
    </w:pPr>
  </w:style>
  <w:style w:type="paragraph" w:styleId="Index7">
    <w:name w:val="index 7"/>
    <w:basedOn w:val="Standard"/>
    <w:next w:val="Standard"/>
    <w:autoRedefine/>
    <w:uiPriority w:val="99"/>
    <w:semiHidden/>
    <w:pPr>
      <w:ind w:left="1680" w:hanging="240"/>
    </w:pPr>
  </w:style>
  <w:style w:type="paragraph" w:styleId="Index8">
    <w:name w:val="index 8"/>
    <w:basedOn w:val="Standard"/>
    <w:next w:val="Standard"/>
    <w:autoRedefine/>
    <w:uiPriority w:val="99"/>
    <w:semiHidden/>
    <w:pPr>
      <w:ind w:left="1920" w:hanging="240"/>
    </w:pPr>
  </w:style>
  <w:style w:type="paragraph" w:styleId="Index9">
    <w:name w:val="index 9"/>
    <w:basedOn w:val="Standard"/>
    <w:next w:val="Standard"/>
    <w:autoRedefine/>
    <w:uiPriority w:val="99"/>
    <w:semiHidden/>
    <w:pPr>
      <w:ind w:left="2160" w:hanging="240"/>
    </w:pPr>
  </w:style>
  <w:style w:type="paragraph" w:customStyle="1" w:styleId="GrundtextAufzhlung">
    <w:name w:val="Grundtext Aufzählung"/>
    <w:basedOn w:val="Grundtext"/>
    <w:next w:val="Grundtext"/>
    <w:link w:val="GrundtextAufzhlungZchnZchn"/>
    <w:uiPriority w:val="99"/>
    <w:pPr>
      <w:numPr>
        <w:numId w:val="5"/>
      </w:numPr>
      <w:tabs>
        <w:tab w:val="clear" w:pos="720"/>
        <w:tab w:val="left" w:pos="284"/>
      </w:tabs>
      <w:ind w:left="284" w:hanging="284"/>
    </w:pPr>
    <w:rPr>
      <w:lang w:val="en-GB"/>
    </w:rPr>
  </w:style>
  <w:style w:type="paragraph" w:customStyle="1" w:styleId="TitelInhaltsverzeichnis">
    <w:name w:val="Titel Inhaltsverzeichnis"/>
    <w:basedOn w:val="Autor"/>
    <w:next w:val="Verzeichnis1"/>
    <w:uiPriority w:val="99"/>
    <w:pPr>
      <w:spacing w:after="60" w:line="260" w:lineRule="exact"/>
    </w:pPr>
    <w:rPr>
      <w:b/>
      <w:sz w:val="20"/>
    </w:rPr>
  </w:style>
  <w:style w:type="paragraph" w:styleId="Funotentext">
    <w:name w:val="footnote text"/>
    <w:basedOn w:val="Standard"/>
    <w:link w:val="FunotentextZeichen"/>
    <w:uiPriority w:val="99"/>
    <w:semiHidden/>
    <w:pPr>
      <w:widowControl/>
      <w:tabs>
        <w:tab w:val="left" w:pos="284"/>
      </w:tabs>
      <w:spacing w:line="200" w:lineRule="exact"/>
      <w:ind w:left="284" w:hanging="284"/>
      <w:jc w:val="both"/>
    </w:pPr>
    <w:rPr>
      <w:rFonts w:ascii="Helvetica-Narrow" w:hAnsi="Helvetica-Narrow"/>
      <w:kern w:val="18"/>
      <w:sz w:val="16"/>
    </w:rPr>
  </w:style>
  <w:style w:type="character" w:customStyle="1" w:styleId="FunotentextZeichen">
    <w:name w:val="Fußnotentext Zeichen"/>
    <w:basedOn w:val="Absatzstandardschriftart"/>
    <w:link w:val="Funotentext"/>
    <w:uiPriority w:val="99"/>
    <w:semiHidden/>
    <w:locked/>
    <w:rPr>
      <w:rFonts w:cs="Times New Roman"/>
      <w:sz w:val="20"/>
      <w:szCs w:val="20"/>
      <w:lang w:val="de-CH" w:eastAsia="de-DE"/>
    </w:rPr>
  </w:style>
  <w:style w:type="character" w:customStyle="1" w:styleId="FNKapitaelchen">
    <w:name w:val="FN Kapitaelchen"/>
    <w:uiPriority w:val="99"/>
    <w:rPr>
      <w:rFonts w:ascii="Helvetica-Narrow" w:hAnsi="Helvetica-Narrow"/>
      <w:smallCaps/>
      <w:sz w:val="16"/>
    </w:rPr>
  </w:style>
  <w:style w:type="character" w:customStyle="1" w:styleId="FNFussnotentext">
    <w:name w:val="FN Fussnotentext"/>
    <w:uiPriority w:val="99"/>
    <w:rPr>
      <w:rFonts w:ascii="Helvetica-Narrow" w:hAnsi="Helvetica-Narrow"/>
      <w:sz w:val="16"/>
    </w:rPr>
  </w:style>
  <w:style w:type="paragraph" w:customStyle="1" w:styleId="berschrift2ohneAbst">
    <w:name w:val="Überschrift 2 ohne Abst."/>
    <w:basedOn w:val="berschrift2"/>
    <w:uiPriority w:val="99"/>
    <w:pPr>
      <w:spacing w:before="0"/>
    </w:pPr>
  </w:style>
  <w:style w:type="paragraph" w:customStyle="1" w:styleId="berschrift3ohneAbst">
    <w:name w:val="Überschrift 3 ohne Abst."/>
    <w:basedOn w:val="berschrift3"/>
    <w:uiPriority w:val="99"/>
    <w:pPr>
      <w:spacing w:before="0"/>
    </w:pPr>
  </w:style>
  <w:style w:type="paragraph" w:customStyle="1" w:styleId="berschrift4ohneAbst">
    <w:name w:val="Überschrift 4 ohne Abst."/>
    <w:basedOn w:val="berschrift4"/>
    <w:uiPriority w:val="99"/>
    <w:pPr>
      <w:spacing w:before="0"/>
    </w:pPr>
  </w:style>
  <w:style w:type="paragraph" w:customStyle="1" w:styleId="berschrift5ohneAbst">
    <w:name w:val="Überschrift 5 ohne Abst."/>
    <w:basedOn w:val="berschrift5"/>
    <w:uiPriority w:val="99"/>
    <w:pPr>
      <w:spacing w:before="0"/>
    </w:pPr>
  </w:style>
  <w:style w:type="paragraph" w:customStyle="1" w:styleId="berschrift6ohneAbst">
    <w:name w:val="Überschrift 6 ohne Abst."/>
    <w:basedOn w:val="berschrift6"/>
    <w:uiPriority w:val="99"/>
    <w:pPr>
      <w:spacing w:before="0"/>
    </w:pPr>
  </w:style>
  <w:style w:type="character" w:customStyle="1" w:styleId="GrundtextAufzhlungZchnZchn">
    <w:name w:val="Grundtext Aufzählung Zchn Zchn"/>
    <w:basedOn w:val="GrundtextZchn"/>
    <w:link w:val="GrundtextAufzhlung"/>
    <w:uiPriority w:val="99"/>
    <w:locked/>
    <w:rPr>
      <w:rFonts w:cs="Times New Roman"/>
      <w:kern w:val="21"/>
      <w:lang w:val="en-GB" w:eastAsia="de-DE" w:bidi="ar-SA"/>
    </w:rPr>
  </w:style>
  <w:style w:type="character" w:styleId="Link">
    <w:name w:val="Hyperlink"/>
    <w:basedOn w:val="Absatzstandardschriftart"/>
    <w:uiPriority w:val="99"/>
    <w:rPr>
      <w:rFonts w:cs="Times New Roman"/>
      <w:color w:val="0000FF"/>
      <w:u w:val="single"/>
    </w:rPr>
  </w:style>
  <w:style w:type="paragraph" w:customStyle="1" w:styleId="FormatvorlageGrundtextLinks0cmHngend1cm">
    <w:name w:val="Formatvorlage Grundtext + Links:  0 cm Hängend:  1 cm"/>
    <w:basedOn w:val="Standard"/>
    <w:link w:val="FormatvorlageGrundtextLinks0cmHngend1cmZchn"/>
    <w:uiPriority w:val="99"/>
    <w:pPr>
      <w:widowControl/>
      <w:spacing w:after="120" w:line="240" w:lineRule="exact"/>
      <w:ind w:left="567" w:hanging="567"/>
      <w:jc w:val="both"/>
    </w:pPr>
    <w:rPr>
      <w:kern w:val="21"/>
      <w:sz w:val="19"/>
    </w:rPr>
  </w:style>
  <w:style w:type="character" w:customStyle="1" w:styleId="FormatvorlageGrundtextLinks0cmHngend1cmZchn">
    <w:name w:val="Formatvorlage Grundtext + Links:  0 cm Hängend:  1 cm Zchn"/>
    <w:basedOn w:val="Absatzstandardschriftart"/>
    <w:link w:val="FormatvorlageGrundtextLinks0cmHngend1cm"/>
    <w:uiPriority w:val="99"/>
    <w:locked/>
    <w:rPr>
      <w:rFonts w:cs="Times New Roman"/>
      <w:kern w:val="21"/>
      <w:sz w:val="19"/>
      <w:lang w:val="de-CH"/>
    </w:rPr>
  </w:style>
  <w:style w:type="paragraph" w:customStyle="1" w:styleId="Literaturverzeichnis1">
    <w:name w:val="Literaturverzeichnis1"/>
    <w:basedOn w:val="FormatvorlageGrundtextLinks0cmHngend1cm"/>
    <w:uiPriority w:val="99"/>
    <w:pPr>
      <w:spacing w:line="220" w:lineRule="exact"/>
    </w:pPr>
  </w:style>
  <w:style w:type="character" w:customStyle="1" w:styleId="berschrift7Zeichen">
    <w:name w:val="Überschrift 7 Zeichen"/>
    <w:basedOn w:val="Absatzstandardschriftart"/>
    <w:link w:val="berschrift7"/>
    <w:uiPriority w:val="9"/>
    <w:rsid w:val="001906EB"/>
    <w:rPr>
      <w:rFonts w:ascii="Optima" w:eastAsia="ＭＳ ゴシック" w:hAnsi="Optima"/>
      <w:iCs/>
      <w:sz w:val="26"/>
      <w:szCs w:val="24"/>
      <w:lang w:val="de-DE" w:eastAsia="ja-JP"/>
    </w:rPr>
  </w:style>
  <w:style w:type="character" w:customStyle="1" w:styleId="berschrift8Zeichen">
    <w:name w:val="Überschrift 8 Zeichen"/>
    <w:basedOn w:val="Absatzstandardschriftart"/>
    <w:link w:val="berschrift8"/>
    <w:uiPriority w:val="9"/>
    <w:rsid w:val="001906EB"/>
    <w:rPr>
      <w:rFonts w:ascii="Optima" w:eastAsia="ＭＳ ゴシック" w:hAnsi="Optima"/>
      <w:color w:val="404040"/>
      <w:sz w:val="26"/>
      <w:szCs w:val="20"/>
      <w:lang w:val="de-DE" w:eastAsia="ja-JP"/>
    </w:rPr>
  </w:style>
  <w:style w:type="character" w:customStyle="1" w:styleId="berschrift9Zeichen">
    <w:name w:val="Überschrift 9 Zeichen"/>
    <w:basedOn w:val="Absatzstandardschriftart"/>
    <w:link w:val="berschrift9"/>
    <w:uiPriority w:val="9"/>
    <w:semiHidden/>
    <w:rsid w:val="001906EB"/>
    <w:rPr>
      <w:rFonts w:ascii="Calibri" w:eastAsia="ＭＳ ゴシック" w:hAnsi="Calibri"/>
      <w:i/>
      <w:iCs/>
      <w:color w:val="404040"/>
      <w:sz w:val="20"/>
      <w:szCs w:val="20"/>
      <w:lang w:val="de-DE" w:eastAsia="ja-JP"/>
    </w:rPr>
  </w:style>
  <w:style w:type="paragraph" w:styleId="Dokumentstruktur">
    <w:name w:val="Document Map"/>
    <w:basedOn w:val="Standard"/>
    <w:link w:val="DokumentstrukturZeichen"/>
    <w:uiPriority w:val="99"/>
    <w:semiHidden/>
    <w:unhideWhenUsed/>
    <w:rsid w:val="001906EB"/>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1906EB"/>
    <w:rPr>
      <w:rFonts w:ascii="Lucida Grande" w:hAnsi="Lucida Grande" w:cs="Lucida Grande"/>
      <w:sz w:val="24"/>
      <w:szCs w:val="24"/>
      <w:lang w:val="de-CH" w:eastAsia="de-DE"/>
    </w:rPr>
  </w:style>
  <w:style w:type="paragraph" w:styleId="Textkrper3">
    <w:name w:val="Body Text 3"/>
    <w:basedOn w:val="Standard"/>
    <w:link w:val="Textkrper3Zeichen"/>
    <w:uiPriority w:val="99"/>
    <w:semiHidden/>
    <w:unhideWhenUsed/>
    <w:rsid w:val="00D01571"/>
    <w:pPr>
      <w:spacing w:after="120"/>
    </w:pPr>
    <w:rPr>
      <w:sz w:val="16"/>
      <w:szCs w:val="16"/>
    </w:rPr>
  </w:style>
  <w:style w:type="character" w:customStyle="1" w:styleId="Textkrper3Zeichen">
    <w:name w:val="Textkörper 3 Zeichen"/>
    <w:basedOn w:val="Absatzstandardschriftart"/>
    <w:link w:val="Textkrper3"/>
    <w:uiPriority w:val="99"/>
    <w:semiHidden/>
    <w:rsid w:val="00D01571"/>
    <w:rPr>
      <w:sz w:val="16"/>
      <w:szCs w:val="16"/>
      <w:lang w:val="de-CH" w:eastAsia="de-DE"/>
    </w:rPr>
  </w:style>
  <w:style w:type="paragraph" w:styleId="Fuzeile">
    <w:name w:val="footer"/>
    <w:basedOn w:val="Standard"/>
    <w:link w:val="FuzeileZeichen"/>
    <w:uiPriority w:val="99"/>
    <w:semiHidden/>
    <w:unhideWhenUsed/>
    <w:rsid w:val="00277B4F"/>
    <w:pPr>
      <w:tabs>
        <w:tab w:val="center" w:pos="4536"/>
        <w:tab w:val="right" w:pos="9072"/>
      </w:tabs>
    </w:pPr>
  </w:style>
  <w:style w:type="character" w:customStyle="1" w:styleId="FuzeileZeichen">
    <w:name w:val="Fußzeile Zeichen"/>
    <w:basedOn w:val="Absatzstandardschriftart"/>
    <w:link w:val="Fuzeile"/>
    <w:uiPriority w:val="99"/>
    <w:semiHidden/>
    <w:rsid w:val="00277B4F"/>
    <w:rPr>
      <w:sz w:val="24"/>
      <w:szCs w:val="20"/>
      <w:lang w:val="de-CH" w:eastAsia="de-DE"/>
    </w:rPr>
  </w:style>
  <w:style w:type="paragraph" w:customStyle="1" w:styleId="EndNoteBibliographyTitle">
    <w:name w:val="EndNote Bibliography Title"/>
    <w:basedOn w:val="Standard"/>
    <w:rsid w:val="00DF2E01"/>
    <w:pPr>
      <w:jc w:val="center"/>
    </w:pPr>
    <w:rPr>
      <w:rFonts w:ascii="Abadi MT Condensed Extra Bold" w:hAnsi="Abadi MT Condensed Extra Bold"/>
      <w:sz w:val="16"/>
      <w:lang w:val="de-DE"/>
    </w:rPr>
  </w:style>
  <w:style w:type="paragraph" w:customStyle="1" w:styleId="EndNoteBibliography">
    <w:name w:val="EndNote Bibliography"/>
    <w:basedOn w:val="Standard"/>
    <w:rsid w:val="00DF2E01"/>
    <w:pPr>
      <w:jc w:val="both"/>
    </w:pPr>
    <w:rPr>
      <w:rFonts w:ascii="Abadi MT Condensed Extra Bold" w:hAnsi="Abadi MT Condensed Extra Bold"/>
      <w:sz w:val="16"/>
      <w:lang w:val="de-DE"/>
    </w:rPr>
  </w:style>
  <w:style w:type="paragraph" w:styleId="Sprechblasentext">
    <w:name w:val="Balloon Text"/>
    <w:basedOn w:val="Standard"/>
    <w:link w:val="SprechblasentextZeichen"/>
    <w:uiPriority w:val="99"/>
    <w:semiHidden/>
    <w:unhideWhenUsed/>
    <w:rsid w:val="0047773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7731"/>
    <w:rPr>
      <w:rFonts w:ascii="Lucida Grande" w:hAnsi="Lucida Grande" w:cs="Lucida Grande"/>
      <w:sz w:val="18"/>
      <w:szCs w:val="18"/>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sz w:val="24"/>
      <w:szCs w:val="20"/>
      <w:lang w:val="de-CH" w:eastAsia="de-DE"/>
    </w:rPr>
  </w:style>
  <w:style w:type="paragraph" w:styleId="berschrift1">
    <w:name w:val="heading 1"/>
    <w:basedOn w:val="Titel"/>
    <w:next w:val="Grundtext"/>
    <w:link w:val="berschrift1Zeichen"/>
    <w:uiPriority w:val="9"/>
    <w:qFormat/>
    <w:pPr>
      <w:keepNext/>
      <w:numPr>
        <w:numId w:val="1"/>
      </w:numPr>
      <w:suppressAutoHyphens/>
      <w:spacing w:before="520" w:after="260" w:line="320" w:lineRule="exact"/>
      <w:outlineLvl w:val="0"/>
    </w:pPr>
    <w:rPr>
      <w:b/>
      <w:sz w:val="28"/>
    </w:rPr>
  </w:style>
  <w:style w:type="paragraph" w:styleId="berschrift2">
    <w:name w:val="heading 2"/>
    <w:basedOn w:val="berschrift1"/>
    <w:next w:val="Grundtext"/>
    <w:link w:val="berschrift2Zeichen"/>
    <w:uiPriority w:val="9"/>
    <w:qFormat/>
    <w:pPr>
      <w:keepLines/>
      <w:numPr>
        <w:ilvl w:val="1"/>
      </w:numPr>
      <w:spacing w:before="400" w:after="200" w:line="260" w:lineRule="exact"/>
      <w:outlineLvl w:val="1"/>
    </w:pPr>
    <w:rPr>
      <w:kern w:val="24"/>
      <w:sz w:val="24"/>
    </w:rPr>
  </w:style>
  <w:style w:type="paragraph" w:styleId="berschrift3">
    <w:name w:val="heading 3"/>
    <w:basedOn w:val="berschrift2"/>
    <w:next w:val="Grundtext"/>
    <w:link w:val="berschrift3Zeichen"/>
    <w:uiPriority w:val="9"/>
    <w:qFormat/>
    <w:pPr>
      <w:numPr>
        <w:ilvl w:val="2"/>
      </w:numPr>
      <w:spacing w:before="200" w:after="120"/>
      <w:outlineLvl w:val="2"/>
    </w:pPr>
    <w:rPr>
      <w:sz w:val="20"/>
    </w:rPr>
  </w:style>
  <w:style w:type="paragraph" w:styleId="berschrift4">
    <w:name w:val="heading 4"/>
    <w:basedOn w:val="berschrift3"/>
    <w:next w:val="Grundtext"/>
    <w:link w:val="berschrift4Zeichen"/>
    <w:uiPriority w:val="9"/>
    <w:qFormat/>
    <w:pPr>
      <w:numPr>
        <w:ilvl w:val="3"/>
      </w:numPr>
      <w:spacing w:before="120" w:after="100"/>
      <w:outlineLvl w:val="3"/>
    </w:pPr>
    <w:rPr>
      <w:i/>
      <w:spacing w:val="-1"/>
    </w:rPr>
  </w:style>
  <w:style w:type="paragraph" w:styleId="berschrift5">
    <w:name w:val="heading 5"/>
    <w:basedOn w:val="berschrift4"/>
    <w:next w:val="Grundtext"/>
    <w:link w:val="berschrift5Zeichen"/>
    <w:uiPriority w:val="9"/>
    <w:qFormat/>
    <w:pPr>
      <w:numPr>
        <w:ilvl w:val="4"/>
      </w:numPr>
      <w:outlineLvl w:val="4"/>
    </w:pPr>
    <w:rPr>
      <w:b w:val="0"/>
      <w:i w:val="0"/>
      <w:kern w:val="21"/>
    </w:rPr>
  </w:style>
  <w:style w:type="paragraph" w:styleId="berschrift6">
    <w:name w:val="heading 6"/>
    <w:basedOn w:val="berschrift5"/>
    <w:next w:val="Grundtext"/>
    <w:link w:val="berschrift6Zeichen"/>
    <w:uiPriority w:val="9"/>
    <w:qFormat/>
    <w:pPr>
      <w:numPr>
        <w:ilvl w:val="5"/>
      </w:numPr>
      <w:outlineLvl w:val="5"/>
    </w:pPr>
    <w:rPr>
      <w:i/>
    </w:rPr>
  </w:style>
  <w:style w:type="paragraph" w:styleId="berschrift7">
    <w:name w:val="heading 7"/>
    <w:basedOn w:val="Standard"/>
    <w:next w:val="Standard"/>
    <w:link w:val="berschrift7Zeichen"/>
    <w:uiPriority w:val="9"/>
    <w:unhideWhenUsed/>
    <w:qFormat/>
    <w:locked/>
    <w:rsid w:val="001906EB"/>
    <w:pPr>
      <w:keepNext/>
      <w:keepLines/>
      <w:widowControl/>
      <w:spacing w:before="200" w:line="360" w:lineRule="auto"/>
      <w:ind w:left="4320"/>
      <w:jc w:val="both"/>
      <w:outlineLvl w:val="6"/>
    </w:pPr>
    <w:rPr>
      <w:rFonts w:ascii="Optima" w:eastAsia="ＭＳ ゴシック" w:hAnsi="Optima"/>
      <w:iCs/>
      <w:sz w:val="26"/>
      <w:szCs w:val="24"/>
      <w:lang w:val="de-DE" w:eastAsia="ja-JP"/>
    </w:rPr>
  </w:style>
  <w:style w:type="paragraph" w:styleId="berschrift8">
    <w:name w:val="heading 8"/>
    <w:basedOn w:val="Standard"/>
    <w:next w:val="Standard"/>
    <w:link w:val="berschrift8Zeichen"/>
    <w:uiPriority w:val="9"/>
    <w:unhideWhenUsed/>
    <w:qFormat/>
    <w:locked/>
    <w:rsid w:val="001906EB"/>
    <w:pPr>
      <w:keepNext/>
      <w:keepLines/>
      <w:widowControl/>
      <w:spacing w:before="200" w:line="360" w:lineRule="auto"/>
      <w:ind w:left="5040"/>
      <w:jc w:val="both"/>
      <w:outlineLvl w:val="7"/>
    </w:pPr>
    <w:rPr>
      <w:rFonts w:ascii="Optima" w:eastAsia="ＭＳ ゴシック" w:hAnsi="Optima"/>
      <w:color w:val="404040"/>
      <w:sz w:val="26"/>
      <w:lang w:val="de-DE" w:eastAsia="ja-JP"/>
    </w:rPr>
  </w:style>
  <w:style w:type="paragraph" w:styleId="berschrift9">
    <w:name w:val="heading 9"/>
    <w:basedOn w:val="Standard"/>
    <w:next w:val="Standard"/>
    <w:link w:val="berschrift9Zeichen"/>
    <w:uiPriority w:val="9"/>
    <w:semiHidden/>
    <w:unhideWhenUsed/>
    <w:qFormat/>
    <w:locked/>
    <w:rsid w:val="001906EB"/>
    <w:pPr>
      <w:keepNext/>
      <w:keepLines/>
      <w:widowControl/>
      <w:spacing w:before="200" w:line="360" w:lineRule="auto"/>
      <w:ind w:left="5760"/>
      <w:jc w:val="both"/>
      <w:outlineLvl w:val="8"/>
    </w:pPr>
    <w:rPr>
      <w:rFonts w:ascii="Calibri" w:eastAsia="ＭＳ ゴシック" w:hAnsi="Calibri"/>
      <w:i/>
      <w:iCs/>
      <w:color w:val="404040"/>
      <w:sz w:val="20"/>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Helvetica-Narrow" w:hAnsi="Helvetica-Narrow" w:cs="Times New Roman"/>
      <w:b/>
      <w:kern w:val="28"/>
      <w:sz w:val="28"/>
      <w:lang w:val="de-CH" w:eastAsia="de-DE" w:bidi="ar-SA"/>
    </w:rPr>
  </w:style>
  <w:style w:type="character" w:customStyle="1" w:styleId="berschrift2Zeichen">
    <w:name w:val="Überschrift 2 Zeichen"/>
    <w:basedOn w:val="Absatzstandardschriftart"/>
    <w:link w:val="berschrift2"/>
    <w:uiPriority w:val="99"/>
    <w:semiHidden/>
    <w:locked/>
    <w:rPr>
      <w:rFonts w:ascii="Cambria" w:hAnsi="Cambria" w:cs="Times New Roman"/>
      <w:b/>
      <w:bCs/>
      <w:i/>
      <w:iCs/>
      <w:sz w:val="28"/>
      <w:szCs w:val="28"/>
      <w:lang w:val="de-CH" w:eastAsia="de-DE"/>
    </w:rPr>
  </w:style>
  <w:style w:type="character" w:customStyle="1" w:styleId="berschrift3Zeichen">
    <w:name w:val="Überschrift 3 Zeichen"/>
    <w:basedOn w:val="Absatzstandardschriftart"/>
    <w:link w:val="berschrift3"/>
    <w:uiPriority w:val="99"/>
    <w:semiHidden/>
    <w:locked/>
    <w:rPr>
      <w:rFonts w:ascii="Cambria" w:hAnsi="Cambria" w:cs="Times New Roman"/>
      <w:b/>
      <w:bCs/>
      <w:sz w:val="26"/>
      <w:szCs w:val="26"/>
      <w:lang w:val="de-CH" w:eastAsia="de-DE"/>
    </w:rPr>
  </w:style>
  <w:style w:type="character" w:customStyle="1" w:styleId="berschrift4Zeichen">
    <w:name w:val="Überschrift 4 Zeichen"/>
    <w:basedOn w:val="Absatzstandardschriftart"/>
    <w:link w:val="berschrift4"/>
    <w:uiPriority w:val="99"/>
    <w:semiHidden/>
    <w:locked/>
    <w:rPr>
      <w:rFonts w:ascii="Calibri" w:hAnsi="Calibri" w:cs="Times New Roman"/>
      <w:b/>
      <w:bCs/>
      <w:sz w:val="28"/>
      <w:szCs w:val="28"/>
      <w:lang w:val="de-CH" w:eastAsia="de-DE"/>
    </w:rPr>
  </w:style>
  <w:style w:type="character" w:customStyle="1" w:styleId="berschrift5Zeichen">
    <w:name w:val="Überschrift 5 Zeichen"/>
    <w:basedOn w:val="Absatzstandardschriftart"/>
    <w:link w:val="berschrift5"/>
    <w:uiPriority w:val="99"/>
    <w:semiHidden/>
    <w:locked/>
    <w:rPr>
      <w:rFonts w:ascii="Calibri" w:hAnsi="Calibri" w:cs="Times New Roman"/>
      <w:b/>
      <w:bCs/>
      <w:i/>
      <w:iCs/>
      <w:sz w:val="26"/>
      <w:szCs w:val="26"/>
      <w:lang w:val="de-CH" w:eastAsia="de-DE"/>
    </w:rPr>
  </w:style>
  <w:style w:type="character" w:customStyle="1" w:styleId="berschrift6Zeichen">
    <w:name w:val="Überschrift 6 Zeichen"/>
    <w:basedOn w:val="Absatzstandardschriftart"/>
    <w:link w:val="berschrift6"/>
    <w:uiPriority w:val="99"/>
    <w:semiHidden/>
    <w:locked/>
    <w:rPr>
      <w:rFonts w:ascii="Calibri" w:hAnsi="Calibri" w:cs="Times New Roman"/>
      <w:b/>
      <w:bCs/>
      <w:lang w:val="de-CH" w:eastAsia="de-DE"/>
    </w:rPr>
  </w:style>
  <w:style w:type="paragraph" w:styleId="Titel">
    <w:name w:val="Title"/>
    <w:aliases w:val="Titel Beitrag"/>
    <w:basedOn w:val="Standard"/>
    <w:link w:val="TitelZeichen"/>
    <w:uiPriority w:val="99"/>
    <w:qFormat/>
    <w:pPr>
      <w:widowControl/>
      <w:spacing w:after="520" w:line="440" w:lineRule="exact"/>
    </w:pPr>
    <w:rPr>
      <w:rFonts w:ascii="Helvetica-Narrow" w:hAnsi="Helvetica-Narrow"/>
      <w:kern w:val="28"/>
      <w:sz w:val="40"/>
    </w:rPr>
  </w:style>
  <w:style w:type="character" w:customStyle="1" w:styleId="TitelZeichen">
    <w:name w:val="Titel Zeichen"/>
    <w:aliases w:val="Titel Beitrag Zeichen"/>
    <w:basedOn w:val="Absatzstandardschriftart"/>
    <w:link w:val="Titel"/>
    <w:uiPriority w:val="99"/>
    <w:locked/>
    <w:rPr>
      <w:rFonts w:ascii="Cambria" w:hAnsi="Cambria" w:cs="Times New Roman"/>
      <w:b/>
      <w:bCs/>
      <w:kern w:val="28"/>
      <w:sz w:val="32"/>
      <w:szCs w:val="32"/>
      <w:lang w:val="de-CH" w:eastAsia="de-DE"/>
    </w:rPr>
  </w:style>
  <w:style w:type="paragraph" w:customStyle="1" w:styleId="Grundtext">
    <w:name w:val="Grundtext"/>
    <w:basedOn w:val="Standard"/>
    <w:link w:val="GrundtextZchn"/>
    <w:uiPriority w:val="99"/>
    <w:pPr>
      <w:widowControl/>
      <w:spacing w:after="120" w:line="260" w:lineRule="exact"/>
      <w:jc w:val="both"/>
    </w:pPr>
    <w:rPr>
      <w:kern w:val="21"/>
      <w:sz w:val="20"/>
    </w:rPr>
  </w:style>
  <w:style w:type="paragraph" w:styleId="Kopfzeile">
    <w:name w:val="header"/>
    <w:basedOn w:val="Standard"/>
    <w:link w:val="KopfzeileZeichen"/>
    <w:uiPriority w:val="99"/>
    <w:pPr>
      <w:pBdr>
        <w:bottom w:val="single" w:sz="4" w:space="1" w:color="auto"/>
      </w:pBdr>
      <w:spacing w:before="360"/>
    </w:pPr>
    <w:rPr>
      <w:rFonts w:ascii="Helvetica-Narrow" w:hAnsi="Helvetica-Narrow"/>
      <w:kern w:val="21"/>
      <w:sz w:val="28"/>
    </w:rPr>
  </w:style>
  <w:style w:type="character" w:customStyle="1" w:styleId="KopfzeileZeichen">
    <w:name w:val="Kopfzeile Zeichen"/>
    <w:basedOn w:val="Absatzstandardschriftart"/>
    <w:link w:val="Kopfzeile"/>
    <w:uiPriority w:val="99"/>
    <w:semiHidden/>
    <w:locked/>
    <w:rPr>
      <w:rFonts w:cs="Times New Roman"/>
      <w:sz w:val="20"/>
      <w:szCs w:val="20"/>
      <w:lang w:val="de-CH" w:eastAsia="de-DE"/>
    </w:rPr>
  </w:style>
  <w:style w:type="character" w:styleId="Funotenzeichen">
    <w:name w:val="footnote reference"/>
    <w:basedOn w:val="Absatzstandardschriftart"/>
    <w:uiPriority w:val="99"/>
    <w:semiHidden/>
    <w:rPr>
      <w:rFonts w:ascii="Helvetica-Narrow" w:hAnsi="Helvetica-Narrow" w:cs="Times New Roman"/>
      <w:position w:val="-2"/>
      <w:sz w:val="19"/>
      <w:vertAlign w:val="superscript"/>
    </w:rPr>
  </w:style>
  <w:style w:type="character" w:styleId="Seitenzahl">
    <w:name w:val="page number"/>
    <w:basedOn w:val="Absatzstandardschriftart"/>
    <w:uiPriority w:val="99"/>
    <w:rPr>
      <w:rFonts w:ascii="Helvetica-Narrow" w:hAnsi="Helvetica-Narrow" w:cs="Times New Roman"/>
      <w:b/>
      <w:color w:val="808080"/>
      <w:sz w:val="36"/>
    </w:rPr>
  </w:style>
  <w:style w:type="character" w:customStyle="1" w:styleId="GrundtextZchn">
    <w:name w:val="Grundtext Zchn"/>
    <w:basedOn w:val="Absatzstandardschriftart"/>
    <w:link w:val="Grundtext"/>
    <w:uiPriority w:val="99"/>
    <w:locked/>
    <w:rPr>
      <w:rFonts w:cs="Times New Roman"/>
      <w:kern w:val="21"/>
      <w:lang w:val="de-CH" w:eastAsia="de-DE" w:bidi="ar-SA"/>
    </w:rPr>
  </w:style>
  <w:style w:type="paragraph" w:styleId="Verzeichnis1">
    <w:name w:val="toc 1"/>
    <w:basedOn w:val="Grundtext"/>
    <w:next w:val="Verzeichnis2"/>
    <w:uiPriority w:val="39"/>
    <w:pPr>
      <w:tabs>
        <w:tab w:val="left" w:pos="567"/>
        <w:tab w:val="right" w:pos="6521"/>
      </w:tabs>
      <w:spacing w:before="60" w:after="0" w:line="200" w:lineRule="exact"/>
      <w:ind w:left="567" w:right="567" w:hanging="567"/>
      <w:outlineLvl w:val="0"/>
    </w:pPr>
    <w:rPr>
      <w:rFonts w:ascii="Helvetica-Narrow" w:hAnsi="Helvetica-Narrow"/>
      <w:b/>
      <w:noProof/>
      <w:kern w:val="18"/>
      <w:sz w:val="17"/>
    </w:rPr>
  </w:style>
  <w:style w:type="paragraph" w:styleId="Verzeichnis2">
    <w:name w:val="toc 2"/>
    <w:basedOn w:val="Verzeichnis1"/>
    <w:next w:val="Verzeichnis3"/>
    <w:uiPriority w:val="39"/>
    <w:pPr>
      <w:spacing w:before="0"/>
      <w:ind w:left="851" w:hanging="284"/>
      <w:outlineLvl w:val="1"/>
    </w:pPr>
    <w:rPr>
      <w:b w:val="0"/>
    </w:rPr>
  </w:style>
  <w:style w:type="paragraph" w:styleId="Verzeichnis3">
    <w:name w:val="toc 3"/>
    <w:basedOn w:val="Verzeichnis2"/>
    <w:next w:val="Verzeichnis4"/>
    <w:uiPriority w:val="39"/>
    <w:pPr>
      <w:ind w:left="1135"/>
      <w:outlineLvl w:val="2"/>
    </w:pPr>
  </w:style>
  <w:style w:type="paragraph" w:styleId="Verzeichnis4">
    <w:name w:val="toc 4"/>
    <w:basedOn w:val="Verzeichnis3"/>
    <w:next w:val="Verzeichnis5"/>
    <w:uiPriority w:val="39"/>
    <w:pPr>
      <w:tabs>
        <w:tab w:val="left" w:pos="851"/>
      </w:tabs>
      <w:ind w:left="1305"/>
      <w:outlineLvl w:val="3"/>
    </w:pPr>
  </w:style>
  <w:style w:type="paragraph" w:styleId="Verzeichnis5">
    <w:name w:val="toc 5"/>
    <w:basedOn w:val="Verzeichnis4"/>
    <w:next w:val="Verzeichnis6"/>
    <w:uiPriority w:val="99"/>
    <w:semiHidden/>
    <w:pPr>
      <w:tabs>
        <w:tab w:val="left" w:pos="1134"/>
      </w:tabs>
      <w:ind w:left="1588"/>
      <w:jc w:val="left"/>
      <w:outlineLvl w:val="4"/>
    </w:pPr>
  </w:style>
  <w:style w:type="paragraph" w:styleId="Verzeichnis6">
    <w:name w:val="toc 6"/>
    <w:basedOn w:val="Verzeichnis5"/>
    <w:next w:val="Grundtext"/>
    <w:uiPriority w:val="99"/>
    <w:semiHidden/>
    <w:pPr>
      <w:tabs>
        <w:tab w:val="left" w:pos="1418"/>
      </w:tabs>
      <w:ind w:left="1702"/>
      <w:outlineLvl w:val="5"/>
    </w:pPr>
  </w:style>
  <w:style w:type="paragraph" w:customStyle="1" w:styleId="Autor">
    <w:name w:val="Autor"/>
    <w:basedOn w:val="Titel"/>
    <w:uiPriority w:val="99"/>
    <w:pPr>
      <w:spacing w:after="260" w:line="280" w:lineRule="exact"/>
    </w:pPr>
    <w:rPr>
      <w:kern w:val="26"/>
      <w:sz w:val="24"/>
    </w:rPr>
  </w:style>
  <w:style w:type="paragraph" w:styleId="Verzeichnis7">
    <w:name w:val="toc 7"/>
    <w:basedOn w:val="Standard"/>
    <w:next w:val="Standard"/>
    <w:autoRedefine/>
    <w:uiPriority w:val="99"/>
    <w:semiHidden/>
    <w:pPr>
      <w:ind w:left="1440"/>
    </w:p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paragraph" w:styleId="Index1">
    <w:name w:val="index 1"/>
    <w:basedOn w:val="Standard"/>
    <w:next w:val="Standard"/>
    <w:autoRedefine/>
    <w:uiPriority w:val="99"/>
    <w:semiHidden/>
    <w:pPr>
      <w:ind w:left="240" w:hanging="240"/>
    </w:pPr>
  </w:style>
  <w:style w:type="paragraph" w:styleId="Index2">
    <w:name w:val="index 2"/>
    <w:basedOn w:val="Standard"/>
    <w:next w:val="Standard"/>
    <w:autoRedefine/>
    <w:uiPriority w:val="99"/>
    <w:semiHidden/>
    <w:pPr>
      <w:ind w:left="480" w:hanging="240"/>
    </w:pPr>
  </w:style>
  <w:style w:type="paragraph" w:styleId="Index3">
    <w:name w:val="index 3"/>
    <w:basedOn w:val="Standard"/>
    <w:next w:val="Standard"/>
    <w:autoRedefine/>
    <w:uiPriority w:val="99"/>
    <w:semiHidden/>
    <w:pPr>
      <w:ind w:left="720" w:hanging="240"/>
    </w:pPr>
  </w:style>
  <w:style w:type="paragraph" w:styleId="Index4">
    <w:name w:val="index 4"/>
    <w:basedOn w:val="Standard"/>
    <w:next w:val="Standard"/>
    <w:autoRedefine/>
    <w:uiPriority w:val="99"/>
    <w:semiHidden/>
    <w:pPr>
      <w:ind w:left="960" w:hanging="240"/>
    </w:pPr>
  </w:style>
  <w:style w:type="paragraph" w:styleId="Index5">
    <w:name w:val="index 5"/>
    <w:basedOn w:val="Standard"/>
    <w:next w:val="Standard"/>
    <w:autoRedefine/>
    <w:uiPriority w:val="99"/>
    <w:semiHidden/>
    <w:pPr>
      <w:ind w:left="1200" w:hanging="240"/>
    </w:pPr>
  </w:style>
  <w:style w:type="paragraph" w:styleId="Index6">
    <w:name w:val="index 6"/>
    <w:basedOn w:val="Standard"/>
    <w:next w:val="Standard"/>
    <w:autoRedefine/>
    <w:uiPriority w:val="99"/>
    <w:semiHidden/>
    <w:pPr>
      <w:ind w:left="1440" w:hanging="240"/>
    </w:pPr>
  </w:style>
  <w:style w:type="paragraph" w:styleId="Index7">
    <w:name w:val="index 7"/>
    <w:basedOn w:val="Standard"/>
    <w:next w:val="Standard"/>
    <w:autoRedefine/>
    <w:uiPriority w:val="99"/>
    <w:semiHidden/>
    <w:pPr>
      <w:ind w:left="1680" w:hanging="240"/>
    </w:pPr>
  </w:style>
  <w:style w:type="paragraph" w:styleId="Index8">
    <w:name w:val="index 8"/>
    <w:basedOn w:val="Standard"/>
    <w:next w:val="Standard"/>
    <w:autoRedefine/>
    <w:uiPriority w:val="99"/>
    <w:semiHidden/>
    <w:pPr>
      <w:ind w:left="1920" w:hanging="240"/>
    </w:pPr>
  </w:style>
  <w:style w:type="paragraph" w:styleId="Index9">
    <w:name w:val="index 9"/>
    <w:basedOn w:val="Standard"/>
    <w:next w:val="Standard"/>
    <w:autoRedefine/>
    <w:uiPriority w:val="99"/>
    <w:semiHidden/>
    <w:pPr>
      <w:ind w:left="2160" w:hanging="240"/>
    </w:pPr>
  </w:style>
  <w:style w:type="paragraph" w:customStyle="1" w:styleId="GrundtextAufzhlung">
    <w:name w:val="Grundtext Aufzählung"/>
    <w:basedOn w:val="Grundtext"/>
    <w:next w:val="Grundtext"/>
    <w:link w:val="GrundtextAufzhlungZchnZchn"/>
    <w:uiPriority w:val="99"/>
    <w:pPr>
      <w:numPr>
        <w:numId w:val="5"/>
      </w:numPr>
      <w:tabs>
        <w:tab w:val="clear" w:pos="720"/>
        <w:tab w:val="left" w:pos="284"/>
      </w:tabs>
      <w:ind w:left="284" w:hanging="284"/>
    </w:pPr>
    <w:rPr>
      <w:lang w:val="en-GB"/>
    </w:rPr>
  </w:style>
  <w:style w:type="paragraph" w:customStyle="1" w:styleId="TitelInhaltsverzeichnis">
    <w:name w:val="Titel Inhaltsverzeichnis"/>
    <w:basedOn w:val="Autor"/>
    <w:next w:val="Verzeichnis1"/>
    <w:uiPriority w:val="99"/>
    <w:pPr>
      <w:spacing w:after="60" w:line="260" w:lineRule="exact"/>
    </w:pPr>
    <w:rPr>
      <w:b/>
      <w:sz w:val="20"/>
    </w:rPr>
  </w:style>
  <w:style w:type="paragraph" w:styleId="Funotentext">
    <w:name w:val="footnote text"/>
    <w:basedOn w:val="Standard"/>
    <w:link w:val="FunotentextZeichen"/>
    <w:uiPriority w:val="99"/>
    <w:semiHidden/>
    <w:pPr>
      <w:widowControl/>
      <w:tabs>
        <w:tab w:val="left" w:pos="284"/>
      </w:tabs>
      <w:spacing w:line="200" w:lineRule="exact"/>
      <w:ind w:left="284" w:hanging="284"/>
      <w:jc w:val="both"/>
    </w:pPr>
    <w:rPr>
      <w:rFonts w:ascii="Helvetica-Narrow" w:hAnsi="Helvetica-Narrow"/>
      <w:kern w:val="18"/>
      <w:sz w:val="16"/>
    </w:rPr>
  </w:style>
  <w:style w:type="character" w:customStyle="1" w:styleId="FunotentextZeichen">
    <w:name w:val="Fußnotentext Zeichen"/>
    <w:basedOn w:val="Absatzstandardschriftart"/>
    <w:link w:val="Funotentext"/>
    <w:uiPriority w:val="99"/>
    <w:semiHidden/>
    <w:locked/>
    <w:rPr>
      <w:rFonts w:cs="Times New Roman"/>
      <w:sz w:val="20"/>
      <w:szCs w:val="20"/>
      <w:lang w:val="de-CH" w:eastAsia="de-DE"/>
    </w:rPr>
  </w:style>
  <w:style w:type="character" w:customStyle="1" w:styleId="FNKapitaelchen">
    <w:name w:val="FN Kapitaelchen"/>
    <w:uiPriority w:val="99"/>
    <w:rPr>
      <w:rFonts w:ascii="Helvetica-Narrow" w:hAnsi="Helvetica-Narrow"/>
      <w:smallCaps/>
      <w:sz w:val="16"/>
    </w:rPr>
  </w:style>
  <w:style w:type="character" w:customStyle="1" w:styleId="FNFussnotentext">
    <w:name w:val="FN Fussnotentext"/>
    <w:uiPriority w:val="99"/>
    <w:rPr>
      <w:rFonts w:ascii="Helvetica-Narrow" w:hAnsi="Helvetica-Narrow"/>
      <w:sz w:val="16"/>
    </w:rPr>
  </w:style>
  <w:style w:type="paragraph" w:customStyle="1" w:styleId="berschrift2ohneAbst">
    <w:name w:val="Überschrift 2 ohne Abst."/>
    <w:basedOn w:val="berschrift2"/>
    <w:uiPriority w:val="99"/>
    <w:pPr>
      <w:spacing w:before="0"/>
    </w:pPr>
  </w:style>
  <w:style w:type="paragraph" w:customStyle="1" w:styleId="berschrift3ohneAbst">
    <w:name w:val="Überschrift 3 ohne Abst."/>
    <w:basedOn w:val="berschrift3"/>
    <w:uiPriority w:val="99"/>
    <w:pPr>
      <w:spacing w:before="0"/>
    </w:pPr>
  </w:style>
  <w:style w:type="paragraph" w:customStyle="1" w:styleId="berschrift4ohneAbst">
    <w:name w:val="Überschrift 4 ohne Abst."/>
    <w:basedOn w:val="berschrift4"/>
    <w:uiPriority w:val="99"/>
    <w:pPr>
      <w:spacing w:before="0"/>
    </w:pPr>
  </w:style>
  <w:style w:type="paragraph" w:customStyle="1" w:styleId="berschrift5ohneAbst">
    <w:name w:val="Überschrift 5 ohne Abst."/>
    <w:basedOn w:val="berschrift5"/>
    <w:uiPriority w:val="99"/>
    <w:pPr>
      <w:spacing w:before="0"/>
    </w:pPr>
  </w:style>
  <w:style w:type="paragraph" w:customStyle="1" w:styleId="berschrift6ohneAbst">
    <w:name w:val="Überschrift 6 ohne Abst."/>
    <w:basedOn w:val="berschrift6"/>
    <w:uiPriority w:val="99"/>
    <w:pPr>
      <w:spacing w:before="0"/>
    </w:pPr>
  </w:style>
  <w:style w:type="character" w:customStyle="1" w:styleId="GrundtextAufzhlungZchnZchn">
    <w:name w:val="Grundtext Aufzählung Zchn Zchn"/>
    <w:basedOn w:val="GrundtextZchn"/>
    <w:link w:val="GrundtextAufzhlung"/>
    <w:uiPriority w:val="99"/>
    <w:locked/>
    <w:rPr>
      <w:rFonts w:cs="Times New Roman"/>
      <w:kern w:val="21"/>
      <w:lang w:val="en-GB" w:eastAsia="de-DE" w:bidi="ar-SA"/>
    </w:rPr>
  </w:style>
  <w:style w:type="character" w:styleId="Link">
    <w:name w:val="Hyperlink"/>
    <w:basedOn w:val="Absatzstandardschriftart"/>
    <w:uiPriority w:val="99"/>
    <w:rPr>
      <w:rFonts w:cs="Times New Roman"/>
      <w:color w:val="0000FF"/>
      <w:u w:val="single"/>
    </w:rPr>
  </w:style>
  <w:style w:type="paragraph" w:customStyle="1" w:styleId="FormatvorlageGrundtextLinks0cmHngend1cm">
    <w:name w:val="Formatvorlage Grundtext + Links:  0 cm Hängend:  1 cm"/>
    <w:basedOn w:val="Standard"/>
    <w:link w:val="FormatvorlageGrundtextLinks0cmHngend1cmZchn"/>
    <w:uiPriority w:val="99"/>
    <w:pPr>
      <w:widowControl/>
      <w:spacing w:after="120" w:line="240" w:lineRule="exact"/>
      <w:ind w:left="567" w:hanging="567"/>
      <w:jc w:val="both"/>
    </w:pPr>
    <w:rPr>
      <w:kern w:val="21"/>
      <w:sz w:val="19"/>
    </w:rPr>
  </w:style>
  <w:style w:type="character" w:customStyle="1" w:styleId="FormatvorlageGrundtextLinks0cmHngend1cmZchn">
    <w:name w:val="Formatvorlage Grundtext + Links:  0 cm Hängend:  1 cm Zchn"/>
    <w:basedOn w:val="Absatzstandardschriftart"/>
    <w:link w:val="FormatvorlageGrundtextLinks0cmHngend1cm"/>
    <w:uiPriority w:val="99"/>
    <w:locked/>
    <w:rPr>
      <w:rFonts w:cs="Times New Roman"/>
      <w:kern w:val="21"/>
      <w:sz w:val="19"/>
      <w:lang w:val="de-CH"/>
    </w:rPr>
  </w:style>
  <w:style w:type="paragraph" w:customStyle="1" w:styleId="Literaturverzeichnis1">
    <w:name w:val="Literaturverzeichnis1"/>
    <w:basedOn w:val="FormatvorlageGrundtextLinks0cmHngend1cm"/>
    <w:uiPriority w:val="99"/>
    <w:pPr>
      <w:spacing w:line="220" w:lineRule="exact"/>
    </w:pPr>
  </w:style>
  <w:style w:type="character" w:customStyle="1" w:styleId="berschrift7Zeichen">
    <w:name w:val="Überschrift 7 Zeichen"/>
    <w:basedOn w:val="Absatzstandardschriftart"/>
    <w:link w:val="berschrift7"/>
    <w:uiPriority w:val="9"/>
    <w:rsid w:val="001906EB"/>
    <w:rPr>
      <w:rFonts w:ascii="Optima" w:eastAsia="ＭＳ ゴシック" w:hAnsi="Optima"/>
      <w:iCs/>
      <w:sz w:val="26"/>
      <w:szCs w:val="24"/>
      <w:lang w:val="de-DE" w:eastAsia="ja-JP"/>
    </w:rPr>
  </w:style>
  <w:style w:type="character" w:customStyle="1" w:styleId="berschrift8Zeichen">
    <w:name w:val="Überschrift 8 Zeichen"/>
    <w:basedOn w:val="Absatzstandardschriftart"/>
    <w:link w:val="berschrift8"/>
    <w:uiPriority w:val="9"/>
    <w:rsid w:val="001906EB"/>
    <w:rPr>
      <w:rFonts w:ascii="Optima" w:eastAsia="ＭＳ ゴシック" w:hAnsi="Optima"/>
      <w:color w:val="404040"/>
      <w:sz w:val="26"/>
      <w:szCs w:val="20"/>
      <w:lang w:val="de-DE" w:eastAsia="ja-JP"/>
    </w:rPr>
  </w:style>
  <w:style w:type="character" w:customStyle="1" w:styleId="berschrift9Zeichen">
    <w:name w:val="Überschrift 9 Zeichen"/>
    <w:basedOn w:val="Absatzstandardschriftart"/>
    <w:link w:val="berschrift9"/>
    <w:uiPriority w:val="9"/>
    <w:semiHidden/>
    <w:rsid w:val="001906EB"/>
    <w:rPr>
      <w:rFonts w:ascii="Calibri" w:eastAsia="ＭＳ ゴシック" w:hAnsi="Calibri"/>
      <w:i/>
      <w:iCs/>
      <w:color w:val="404040"/>
      <w:sz w:val="20"/>
      <w:szCs w:val="20"/>
      <w:lang w:val="de-DE" w:eastAsia="ja-JP"/>
    </w:rPr>
  </w:style>
  <w:style w:type="paragraph" w:styleId="Dokumentstruktur">
    <w:name w:val="Document Map"/>
    <w:basedOn w:val="Standard"/>
    <w:link w:val="DokumentstrukturZeichen"/>
    <w:uiPriority w:val="99"/>
    <w:semiHidden/>
    <w:unhideWhenUsed/>
    <w:rsid w:val="001906EB"/>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1906EB"/>
    <w:rPr>
      <w:rFonts w:ascii="Lucida Grande" w:hAnsi="Lucida Grande" w:cs="Lucida Grande"/>
      <w:sz w:val="24"/>
      <w:szCs w:val="24"/>
      <w:lang w:val="de-CH" w:eastAsia="de-DE"/>
    </w:rPr>
  </w:style>
  <w:style w:type="paragraph" w:styleId="Textkrper3">
    <w:name w:val="Body Text 3"/>
    <w:basedOn w:val="Standard"/>
    <w:link w:val="Textkrper3Zeichen"/>
    <w:uiPriority w:val="99"/>
    <w:semiHidden/>
    <w:unhideWhenUsed/>
    <w:rsid w:val="00D01571"/>
    <w:pPr>
      <w:spacing w:after="120"/>
    </w:pPr>
    <w:rPr>
      <w:sz w:val="16"/>
      <w:szCs w:val="16"/>
    </w:rPr>
  </w:style>
  <w:style w:type="character" w:customStyle="1" w:styleId="Textkrper3Zeichen">
    <w:name w:val="Textkörper 3 Zeichen"/>
    <w:basedOn w:val="Absatzstandardschriftart"/>
    <w:link w:val="Textkrper3"/>
    <w:uiPriority w:val="99"/>
    <w:semiHidden/>
    <w:rsid w:val="00D01571"/>
    <w:rPr>
      <w:sz w:val="16"/>
      <w:szCs w:val="16"/>
      <w:lang w:val="de-CH" w:eastAsia="de-DE"/>
    </w:rPr>
  </w:style>
  <w:style w:type="paragraph" w:styleId="Fuzeile">
    <w:name w:val="footer"/>
    <w:basedOn w:val="Standard"/>
    <w:link w:val="FuzeileZeichen"/>
    <w:uiPriority w:val="99"/>
    <w:semiHidden/>
    <w:unhideWhenUsed/>
    <w:rsid w:val="00277B4F"/>
    <w:pPr>
      <w:tabs>
        <w:tab w:val="center" w:pos="4536"/>
        <w:tab w:val="right" w:pos="9072"/>
      </w:tabs>
    </w:pPr>
  </w:style>
  <w:style w:type="character" w:customStyle="1" w:styleId="FuzeileZeichen">
    <w:name w:val="Fußzeile Zeichen"/>
    <w:basedOn w:val="Absatzstandardschriftart"/>
    <w:link w:val="Fuzeile"/>
    <w:uiPriority w:val="99"/>
    <w:semiHidden/>
    <w:rsid w:val="00277B4F"/>
    <w:rPr>
      <w:sz w:val="24"/>
      <w:szCs w:val="20"/>
      <w:lang w:val="de-CH" w:eastAsia="de-DE"/>
    </w:rPr>
  </w:style>
  <w:style w:type="paragraph" w:customStyle="1" w:styleId="EndNoteBibliographyTitle">
    <w:name w:val="EndNote Bibliography Title"/>
    <w:basedOn w:val="Standard"/>
    <w:rsid w:val="00DF2E01"/>
    <w:pPr>
      <w:jc w:val="center"/>
    </w:pPr>
    <w:rPr>
      <w:rFonts w:ascii="Abadi MT Condensed Extra Bold" w:hAnsi="Abadi MT Condensed Extra Bold"/>
      <w:sz w:val="16"/>
      <w:lang w:val="de-DE"/>
    </w:rPr>
  </w:style>
  <w:style w:type="paragraph" w:customStyle="1" w:styleId="EndNoteBibliography">
    <w:name w:val="EndNote Bibliography"/>
    <w:basedOn w:val="Standard"/>
    <w:rsid w:val="00DF2E01"/>
    <w:pPr>
      <w:jc w:val="both"/>
    </w:pPr>
    <w:rPr>
      <w:rFonts w:ascii="Abadi MT Condensed Extra Bold" w:hAnsi="Abadi MT Condensed Extra Bold"/>
      <w:sz w:val="16"/>
      <w:lang w:val="de-DE"/>
    </w:rPr>
  </w:style>
  <w:style w:type="paragraph" w:styleId="Sprechblasentext">
    <w:name w:val="Balloon Text"/>
    <w:basedOn w:val="Standard"/>
    <w:link w:val="SprechblasentextZeichen"/>
    <w:uiPriority w:val="99"/>
    <w:semiHidden/>
    <w:unhideWhenUsed/>
    <w:rsid w:val="0047773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7731"/>
    <w:rPr>
      <w:rFonts w:ascii="Lucida Grande" w:hAnsi="Lucida Grande" w:cs="Lucida Grande"/>
      <w:sz w:val="18"/>
      <w:szCs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7157">
      <w:bodyDiv w:val="1"/>
      <w:marLeft w:val="0"/>
      <w:marRight w:val="0"/>
      <w:marTop w:val="0"/>
      <w:marBottom w:val="0"/>
      <w:divBdr>
        <w:top w:val="none" w:sz="0" w:space="0" w:color="auto"/>
        <w:left w:val="none" w:sz="0" w:space="0" w:color="auto"/>
        <w:bottom w:val="none" w:sz="0" w:space="0" w:color="auto"/>
        <w:right w:val="none" w:sz="0" w:space="0" w:color="auto"/>
      </w:divBdr>
      <w:divsChild>
        <w:div w:id="1900091739">
          <w:marLeft w:val="0"/>
          <w:marRight w:val="0"/>
          <w:marTop w:val="0"/>
          <w:marBottom w:val="0"/>
          <w:divBdr>
            <w:top w:val="none" w:sz="0" w:space="0" w:color="auto"/>
            <w:left w:val="none" w:sz="0" w:space="0" w:color="auto"/>
            <w:bottom w:val="none" w:sz="0" w:space="0" w:color="auto"/>
            <w:right w:val="none" w:sz="0" w:space="0" w:color="auto"/>
          </w:divBdr>
        </w:div>
      </w:divsChild>
    </w:div>
    <w:div w:id="1443455405">
      <w:bodyDiv w:val="1"/>
      <w:marLeft w:val="0"/>
      <w:marRight w:val="0"/>
      <w:marTop w:val="0"/>
      <w:marBottom w:val="0"/>
      <w:divBdr>
        <w:top w:val="none" w:sz="0" w:space="0" w:color="auto"/>
        <w:left w:val="none" w:sz="0" w:space="0" w:color="auto"/>
        <w:bottom w:val="none" w:sz="0" w:space="0" w:color="auto"/>
        <w:right w:val="none" w:sz="0" w:space="0" w:color="auto"/>
      </w:divBdr>
      <w:divsChild>
        <w:div w:id="1819109826">
          <w:marLeft w:val="0"/>
          <w:marRight w:val="0"/>
          <w:marTop w:val="0"/>
          <w:marBottom w:val="0"/>
          <w:divBdr>
            <w:top w:val="none" w:sz="0" w:space="0" w:color="auto"/>
            <w:left w:val="none" w:sz="0" w:space="0" w:color="auto"/>
            <w:bottom w:val="none" w:sz="0" w:space="0" w:color="auto"/>
            <w:right w:val="none" w:sz="0" w:space="0" w:color="auto"/>
          </w:divBdr>
          <w:divsChild>
            <w:div w:id="512887258">
              <w:marLeft w:val="0"/>
              <w:marRight w:val="0"/>
              <w:marTop w:val="0"/>
              <w:marBottom w:val="0"/>
              <w:divBdr>
                <w:top w:val="none" w:sz="0" w:space="0" w:color="auto"/>
                <w:left w:val="none" w:sz="0" w:space="0" w:color="auto"/>
                <w:bottom w:val="none" w:sz="0" w:space="0" w:color="auto"/>
                <w:right w:val="none" w:sz="0" w:space="0" w:color="auto"/>
              </w:divBdr>
              <w:divsChild>
                <w:div w:id="152066242">
                  <w:marLeft w:val="0"/>
                  <w:marRight w:val="0"/>
                  <w:marTop w:val="0"/>
                  <w:marBottom w:val="0"/>
                  <w:divBdr>
                    <w:top w:val="none" w:sz="0" w:space="0" w:color="auto"/>
                    <w:left w:val="none" w:sz="0" w:space="0" w:color="auto"/>
                    <w:bottom w:val="none" w:sz="0" w:space="0" w:color="auto"/>
                    <w:right w:val="none" w:sz="0" w:space="0" w:color="auto"/>
                  </w:divBdr>
                </w:div>
                <w:div w:id="1599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86">
      <w:bodyDiv w:val="1"/>
      <w:marLeft w:val="0"/>
      <w:marRight w:val="0"/>
      <w:marTop w:val="0"/>
      <w:marBottom w:val="0"/>
      <w:divBdr>
        <w:top w:val="none" w:sz="0" w:space="0" w:color="auto"/>
        <w:left w:val="none" w:sz="0" w:space="0" w:color="auto"/>
        <w:bottom w:val="none" w:sz="0" w:space="0" w:color="auto"/>
        <w:right w:val="none" w:sz="0" w:space="0" w:color="auto"/>
      </w:divBdr>
    </w:div>
    <w:div w:id="20966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relevancy.bger.ch/php/clir/http/index.php?lang=de&amp;type=highlight_simple_query&amp;page=1&amp;from_date=&amp;to_date=&amp;from_year=1954&amp;to_year=2012&amp;sort=relevance&amp;insertion_date=&amp;from_date_push=&amp;top_subcollection_clir=bge&amp;query_words=Urteilsunf%E4higkeit+Haftung&amp;part=all&amp;de_fr=&amp;de_it=&amp;fr_de=&amp;fr_it=&amp;it_de=&amp;it_fr=&amp;orig=&amp;translation=&amp;rank=0&amp;highlight_docid=atf%3A%2F%2F93-II-89%3Ade&amp;number_of_ranks=0&amp;azaclir=clir" TargetMode="External"/><Relationship Id="rId2" Type="http://schemas.openxmlformats.org/officeDocument/2006/relationships/hyperlink" Target="https://www.swisslex.ch/AssetDetail.mvc/Show?assetGuid=3a2dd674-6087-4d45-9326-bda6da3c832f&amp;SP=46%7Cys10kw"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usanne.jaeger\Lokale%20Einstellungen\Temporary%20Internet%20Files\Content.MSO\124CA5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C286-16D8-E84E-83EE-81297EFE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Einstellungen\susanne.jaeger\Lokale Einstellungen\Temporary Internet Files\Content.MSO\124CA5A.dotx</Template>
  <TotalTime>0</TotalTime>
  <Pages>28</Pages>
  <Words>6515</Words>
  <Characters>41050</Characters>
  <Application>Microsoft Macintosh Word</Application>
  <DocSecurity>0</DocSecurity>
  <Lines>342</Lines>
  <Paragraphs>94</Paragraphs>
  <ScaleCrop>false</ScaleCrop>
  <HeadingPairs>
    <vt:vector size="2" baseType="variant">
      <vt:variant>
        <vt:lpstr>Titel</vt:lpstr>
      </vt:variant>
      <vt:variant>
        <vt:i4>1</vt:i4>
      </vt:variant>
    </vt:vector>
  </HeadingPairs>
  <TitlesOfParts>
    <vt:vector size="1" baseType="lpstr">
      <vt:lpstr>Kapitel A</vt:lpstr>
    </vt:vector>
  </TitlesOfParts>
  <Company/>
  <LinksUpToDate>false</LinksUpToDate>
  <CharactersWithSpaces>47471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Kapitel A</dc:title>
  <dc:subject/>
  <dc:creator>Remo Dolf</dc:creator>
  <cp:keywords/>
  <dc:description/>
  <cp:lastModifiedBy>Olga Manfredi</cp:lastModifiedBy>
  <cp:revision>3</cp:revision>
  <cp:lastPrinted>2013-12-09T11:05:00Z</cp:lastPrinted>
  <dcterms:created xsi:type="dcterms:W3CDTF">2013-12-09T11:51:00Z</dcterms:created>
  <dcterms:modified xsi:type="dcterms:W3CDTF">2014-01-27T14:59:00Z</dcterms:modified>
</cp:coreProperties>
</file>